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08" w:rsidRPr="00FB6BDC" w:rsidRDefault="00C82308" w:rsidP="00C8230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B6BDC">
        <w:rPr>
          <w:rFonts w:ascii="Times New Roman" w:hAnsi="Times New Roman"/>
          <w:b/>
          <w:sz w:val="20"/>
          <w:szCs w:val="20"/>
        </w:rPr>
        <w:t>Table 5</w:t>
      </w:r>
      <w:r>
        <w:rPr>
          <w:rFonts w:ascii="Times New Roman" w:hAnsi="Times New Roman"/>
          <w:b/>
          <w:sz w:val="20"/>
          <w:szCs w:val="20"/>
        </w:rPr>
        <w:t>:</w:t>
      </w:r>
      <w:r w:rsidRPr="00FB6BDC">
        <w:rPr>
          <w:rFonts w:ascii="Times New Roman" w:hAnsi="Times New Roman"/>
          <w:b/>
          <w:sz w:val="20"/>
          <w:szCs w:val="20"/>
        </w:rPr>
        <w:t xml:space="preserve"> </w:t>
      </w:r>
      <w:r w:rsidRPr="00D03BFF">
        <w:rPr>
          <w:rFonts w:ascii="Times New Roman" w:hAnsi="Times New Roman"/>
          <w:sz w:val="20"/>
          <w:szCs w:val="20"/>
        </w:rPr>
        <w:t>Scoring findings of patients</w:t>
      </w:r>
      <w:r>
        <w:rPr>
          <w:rFonts w:ascii="Times New Roman" w:hAnsi="Times New Roman"/>
          <w:sz w:val="20"/>
          <w:szCs w:val="20"/>
        </w:rPr>
        <w:t>.</w:t>
      </w:r>
    </w:p>
    <w:p w:rsidR="006336CF" w:rsidRDefault="006336CF"/>
    <w:tbl>
      <w:tblPr>
        <w:tblW w:w="7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96"/>
        <w:gridCol w:w="1190"/>
        <w:gridCol w:w="1290"/>
        <w:gridCol w:w="690"/>
        <w:gridCol w:w="1207"/>
        <w:gridCol w:w="903"/>
      </w:tblGrid>
      <w:tr w:rsidR="00C82308" w:rsidRPr="00FB6BDC" w:rsidTr="00304B29">
        <w:trPr>
          <w:trHeight w:val="495"/>
        </w:trPr>
        <w:tc>
          <w:tcPr>
            <w:tcW w:w="2096" w:type="dxa"/>
            <w:shd w:val="clear" w:color="auto" w:fill="auto"/>
            <w:vAlign w:val="center"/>
          </w:tcPr>
          <w:p w:rsidR="00C82308" w:rsidRPr="00915F2B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Variables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2308" w:rsidRPr="00915F2B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Survivor</w:t>
            </w:r>
          </w:p>
          <w:p w:rsidR="00C82308" w:rsidRPr="00915F2B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n = 30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2308" w:rsidRPr="00915F2B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Ex</w:t>
            </w:r>
          </w:p>
          <w:p w:rsidR="00C82308" w:rsidRPr="00915F2B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 = 24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82308" w:rsidRPr="00915F2B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HR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82308" w:rsidRPr="00915F2B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%95CI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2308" w:rsidRPr="00915F2B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</w:t>
            </w:r>
          </w:p>
        </w:tc>
      </w:tr>
      <w:tr w:rsidR="00C82308" w:rsidRPr="00FB6BDC" w:rsidTr="00304B29">
        <w:trPr>
          <w:trHeight w:val="300"/>
        </w:trPr>
        <w:tc>
          <w:tcPr>
            <w:tcW w:w="2096" w:type="dxa"/>
            <w:shd w:val="clear" w:color="auto" w:fill="auto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ECOG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2308" w:rsidRPr="00FB6BDC" w:rsidTr="00304B29">
        <w:trPr>
          <w:trHeight w:val="300"/>
        </w:trPr>
        <w:tc>
          <w:tcPr>
            <w:tcW w:w="2096" w:type="dxa"/>
            <w:shd w:val="clear" w:color="auto" w:fill="auto"/>
          </w:tcPr>
          <w:p w:rsidR="00C82308" w:rsidRPr="00FB6BDC" w:rsidRDefault="00C82308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0-1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(70)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(4.2)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2308" w:rsidRPr="00FB6BDC" w:rsidTr="00304B29">
        <w:trPr>
          <w:trHeight w:val="300"/>
        </w:trPr>
        <w:tc>
          <w:tcPr>
            <w:tcW w:w="2096" w:type="dxa"/>
            <w:shd w:val="clear" w:color="auto" w:fill="auto"/>
          </w:tcPr>
          <w:p w:rsidR="00C82308" w:rsidRPr="00FB6BDC" w:rsidRDefault="00C82308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2.00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(10.0)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(41.7)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20.85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2.67-163.06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0.004</w:t>
            </w:r>
            <w:r w:rsidRPr="00D74814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C82308" w:rsidRPr="00FB6BDC" w:rsidTr="00304B29">
        <w:trPr>
          <w:trHeight w:val="300"/>
        </w:trPr>
        <w:tc>
          <w:tcPr>
            <w:tcW w:w="2096" w:type="dxa"/>
            <w:shd w:val="clear" w:color="auto" w:fill="auto"/>
          </w:tcPr>
          <w:p w:rsidR="00C82308" w:rsidRPr="00FB6BDC" w:rsidRDefault="00C82308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3.00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(20.0)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(29.2)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18.09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2.2-147.85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0.007</w:t>
            </w:r>
            <w:r w:rsidRPr="00D74814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C82308" w:rsidRPr="00FB6BDC" w:rsidTr="00304B29">
        <w:trPr>
          <w:trHeight w:val="300"/>
        </w:trPr>
        <w:tc>
          <w:tcPr>
            <w:tcW w:w="2096" w:type="dxa"/>
            <w:shd w:val="clear" w:color="auto" w:fill="auto"/>
          </w:tcPr>
          <w:p w:rsidR="00C82308" w:rsidRPr="00FB6BDC" w:rsidRDefault="00C82308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4.00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(25.0)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25.21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3.02-210.18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0.003</w:t>
            </w:r>
            <w:r w:rsidRPr="00D74814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C82308" w:rsidRPr="00FB6BDC" w:rsidTr="00304B29">
        <w:trPr>
          <w:trHeight w:val="300"/>
        </w:trPr>
        <w:tc>
          <w:tcPr>
            <w:tcW w:w="2096" w:type="dxa"/>
            <w:shd w:val="clear" w:color="auto" w:fill="auto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Stage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2308" w:rsidRPr="00FB6BDC" w:rsidTr="00304B29">
        <w:trPr>
          <w:trHeight w:val="300"/>
        </w:trPr>
        <w:tc>
          <w:tcPr>
            <w:tcW w:w="2096" w:type="dxa"/>
            <w:shd w:val="clear" w:color="auto" w:fill="auto"/>
          </w:tcPr>
          <w:p w:rsidR="00C82308" w:rsidRPr="00FB6BDC" w:rsidRDefault="00C82308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2-3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(70)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(8.3)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2308" w:rsidRPr="00FB6BDC" w:rsidTr="00304B29">
        <w:trPr>
          <w:trHeight w:val="300"/>
        </w:trPr>
        <w:tc>
          <w:tcPr>
            <w:tcW w:w="2096" w:type="dxa"/>
            <w:shd w:val="clear" w:color="auto" w:fill="auto"/>
          </w:tcPr>
          <w:p w:rsidR="00C82308" w:rsidRPr="00FB6BDC" w:rsidRDefault="00C82308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(30.0)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(91.7)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15.09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3.48-65.47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&lt;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0.001</w:t>
            </w:r>
            <w:r w:rsidRPr="00D74814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C82308" w:rsidRPr="00FB6BDC" w:rsidTr="00304B29">
        <w:trPr>
          <w:trHeight w:val="300"/>
        </w:trPr>
        <w:tc>
          <w:tcPr>
            <w:tcW w:w="2096" w:type="dxa"/>
            <w:shd w:val="clear" w:color="auto" w:fill="auto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BM proliferation index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22.5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(10-80)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(15-95)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1.05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1.03-1.08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&lt;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0.001</w:t>
            </w:r>
            <w:r w:rsidRPr="00D74814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C82308" w:rsidRPr="00FB6BDC" w:rsidTr="00304B29">
        <w:trPr>
          <w:trHeight w:val="300"/>
        </w:trPr>
        <w:tc>
          <w:tcPr>
            <w:tcW w:w="2096" w:type="dxa"/>
            <w:shd w:val="clear" w:color="auto" w:fill="auto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IPI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(0-5)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4.5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(3-5)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2.29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1.47-3.58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&lt;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0.001</w:t>
            </w:r>
            <w:r w:rsidRPr="00D74814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C82308" w:rsidRPr="00FB6BDC" w:rsidTr="00304B29">
        <w:trPr>
          <w:trHeight w:val="300"/>
        </w:trPr>
        <w:tc>
          <w:tcPr>
            <w:tcW w:w="2096" w:type="dxa"/>
            <w:shd w:val="clear" w:color="auto" w:fill="auto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MIPI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(2-11)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(4-11)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1.38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1.15-1.66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0.001</w:t>
            </w:r>
            <w:r w:rsidRPr="00D74814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C82308" w:rsidRPr="00FB6BDC" w:rsidTr="00304B29">
        <w:trPr>
          <w:trHeight w:val="300"/>
        </w:trPr>
        <w:tc>
          <w:tcPr>
            <w:tcW w:w="2096" w:type="dxa"/>
            <w:shd w:val="clear" w:color="auto" w:fill="auto"/>
          </w:tcPr>
          <w:p w:rsidR="00C82308" w:rsidRPr="00FB6BDC" w:rsidRDefault="00C82308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Low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(56.7)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(12.5)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2308" w:rsidRPr="00FB6BDC" w:rsidTr="00304B29">
        <w:trPr>
          <w:trHeight w:val="300"/>
        </w:trPr>
        <w:tc>
          <w:tcPr>
            <w:tcW w:w="2096" w:type="dxa"/>
            <w:shd w:val="clear" w:color="auto" w:fill="auto"/>
          </w:tcPr>
          <w:p w:rsidR="00C82308" w:rsidRPr="00FB6BDC" w:rsidRDefault="00C82308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Medium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(20.0)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2308" w:rsidRPr="00FB6BDC" w:rsidTr="00304B29">
        <w:trPr>
          <w:trHeight w:val="300"/>
        </w:trPr>
        <w:tc>
          <w:tcPr>
            <w:tcW w:w="2096" w:type="dxa"/>
            <w:shd w:val="clear" w:color="auto" w:fill="auto"/>
          </w:tcPr>
          <w:p w:rsidR="00C82308" w:rsidRPr="00FB6BDC" w:rsidRDefault="00C82308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High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(23.3)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(87.5)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6.82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2.03-22.91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0.002</w:t>
            </w:r>
            <w:r w:rsidRPr="00D74814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C82308" w:rsidRPr="00FB6BDC" w:rsidTr="00304B29">
        <w:trPr>
          <w:trHeight w:val="300"/>
        </w:trPr>
        <w:tc>
          <w:tcPr>
            <w:tcW w:w="2096" w:type="dxa"/>
            <w:shd w:val="clear" w:color="auto" w:fill="auto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MIPIB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(1-10.1)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8.1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(3.6-11.1)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1.49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1.23-1.80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&lt;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0.001</w:t>
            </w:r>
            <w:r w:rsidRPr="00D74814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C82308" w:rsidRPr="00FB6BDC" w:rsidTr="00304B29">
        <w:trPr>
          <w:trHeight w:val="300"/>
        </w:trPr>
        <w:tc>
          <w:tcPr>
            <w:tcW w:w="2096" w:type="dxa"/>
            <w:shd w:val="clear" w:color="auto" w:fill="auto"/>
          </w:tcPr>
          <w:p w:rsidR="00C82308" w:rsidRPr="00FB6BDC" w:rsidRDefault="00C82308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Low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(73.3)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(12.5)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2308" w:rsidRPr="00FB6BDC" w:rsidTr="00304B29">
        <w:trPr>
          <w:trHeight w:val="300"/>
        </w:trPr>
        <w:tc>
          <w:tcPr>
            <w:tcW w:w="2096" w:type="dxa"/>
            <w:shd w:val="clear" w:color="auto" w:fill="auto"/>
          </w:tcPr>
          <w:p w:rsidR="00C82308" w:rsidRPr="00FB6BDC" w:rsidRDefault="00C82308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Medium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(10.0)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(4.2)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2.58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0.27-25.02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0.414</w:t>
            </w:r>
          </w:p>
        </w:tc>
      </w:tr>
      <w:tr w:rsidR="00C82308" w:rsidRPr="00FB6BDC" w:rsidTr="00304B29">
        <w:trPr>
          <w:trHeight w:val="300"/>
        </w:trPr>
        <w:tc>
          <w:tcPr>
            <w:tcW w:w="2096" w:type="dxa"/>
            <w:shd w:val="clear" w:color="auto" w:fill="auto"/>
          </w:tcPr>
          <w:p w:rsidR="00C82308" w:rsidRPr="00FB6BDC" w:rsidRDefault="00C82308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High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(16.7)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(83.3)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10.74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3.15-36.63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&lt;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0.001</w:t>
            </w:r>
            <w:r w:rsidRPr="00D74814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C82308" w:rsidRPr="00FB6BDC" w:rsidTr="00304B29">
        <w:trPr>
          <w:trHeight w:val="255"/>
        </w:trPr>
        <w:tc>
          <w:tcPr>
            <w:tcW w:w="2096" w:type="dxa"/>
            <w:shd w:val="clear" w:color="auto" w:fill="auto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WBC ratio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2308" w:rsidRPr="00FB6BDC" w:rsidTr="00304B29">
        <w:trPr>
          <w:trHeight w:val="255"/>
        </w:trPr>
        <w:tc>
          <w:tcPr>
            <w:tcW w:w="2096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6.7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(16.7)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(25.0)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2308" w:rsidRPr="00FB6BDC" w:rsidTr="00304B29">
        <w:trPr>
          <w:trHeight w:val="255"/>
        </w:trPr>
        <w:tc>
          <w:tcPr>
            <w:tcW w:w="2096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6.7-9.9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(33.3)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(16.7)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0.62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0.17-2.22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0.463</w:t>
            </w:r>
          </w:p>
        </w:tc>
      </w:tr>
      <w:tr w:rsidR="00C82308" w:rsidRPr="00FB6BDC" w:rsidTr="00304B29">
        <w:trPr>
          <w:trHeight w:val="255"/>
        </w:trPr>
        <w:tc>
          <w:tcPr>
            <w:tcW w:w="2096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10-14.9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(26.7)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(29.2)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1.03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0.34-3.09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0.956</w:t>
            </w:r>
          </w:p>
        </w:tc>
      </w:tr>
      <w:tr w:rsidR="00C82308" w:rsidRPr="00FB6BDC" w:rsidTr="00304B29">
        <w:trPr>
          <w:trHeight w:val="255"/>
        </w:trPr>
        <w:tc>
          <w:tcPr>
            <w:tcW w:w="2096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&gt;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(23.3)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(29.2)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0.94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0.31-2.80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0.908</w:t>
            </w:r>
          </w:p>
        </w:tc>
      </w:tr>
      <w:tr w:rsidR="00C82308" w:rsidRPr="00FB6BDC" w:rsidTr="00304B29">
        <w:trPr>
          <w:trHeight w:val="255"/>
        </w:trPr>
        <w:tc>
          <w:tcPr>
            <w:tcW w:w="2096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LDH oran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2308" w:rsidRPr="00FB6BDC" w:rsidTr="00304B29">
        <w:trPr>
          <w:trHeight w:val="255"/>
        </w:trPr>
        <w:tc>
          <w:tcPr>
            <w:tcW w:w="2096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0.67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(20.0)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(4.2)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2308" w:rsidRPr="00FB6BDC" w:rsidTr="00304B29">
        <w:trPr>
          <w:trHeight w:val="255"/>
        </w:trPr>
        <w:tc>
          <w:tcPr>
            <w:tcW w:w="2096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0.67-0.95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(33.3)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(20.8)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3.76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0.43-32.80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0.230</w:t>
            </w:r>
          </w:p>
        </w:tc>
      </w:tr>
      <w:tr w:rsidR="00C82308" w:rsidRPr="00FB6BDC" w:rsidTr="00304B29">
        <w:trPr>
          <w:trHeight w:val="255"/>
        </w:trPr>
        <w:tc>
          <w:tcPr>
            <w:tcW w:w="2096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1-1.49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(20.0)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(37.5)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9.27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1.15-74.97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0.037</w:t>
            </w:r>
            <w:r w:rsidRPr="00D74814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C82308" w:rsidRPr="00FB6BDC" w:rsidTr="00304B29">
        <w:trPr>
          <w:trHeight w:val="255"/>
        </w:trPr>
        <w:tc>
          <w:tcPr>
            <w:tcW w:w="2096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&gt;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1.5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(26.7)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(37.5)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5.26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0.67-41.62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2308" w:rsidRPr="00FB6BDC" w:rsidRDefault="00C82308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0.116</w:t>
            </w:r>
          </w:p>
        </w:tc>
      </w:tr>
    </w:tbl>
    <w:p w:rsidR="00C82308" w:rsidRDefault="00C82308"/>
    <w:p w:rsidR="00C82308" w:rsidRPr="00FB6BDC" w:rsidRDefault="00C82308" w:rsidP="00C8230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B6BDC">
        <w:rPr>
          <w:rFonts w:ascii="Times New Roman" w:hAnsi="Times New Roman"/>
          <w:sz w:val="20"/>
          <w:szCs w:val="20"/>
        </w:rPr>
        <w:t xml:space="preserve">Normally distributed numerical variables were shown as mean </w:t>
      </w:r>
      <w:r w:rsidRPr="00D74814">
        <w:rPr>
          <w:rFonts w:ascii="Times New Roman" w:hAnsi="Times New Roman"/>
          <w:color w:val="FF0000"/>
          <w:sz w:val="20"/>
          <w:szCs w:val="20"/>
        </w:rPr>
        <w:t>±</w:t>
      </w:r>
      <w:r w:rsidRPr="00FB6BDC">
        <w:rPr>
          <w:rFonts w:ascii="Times New Roman" w:hAnsi="Times New Roman"/>
          <w:sz w:val="20"/>
          <w:szCs w:val="20"/>
        </w:rPr>
        <w:t xml:space="preserve"> standard deviation.</w:t>
      </w:r>
    </w:p>
    <w:p w:rsidR="00C82308" w:rsidRPr="00FB6BDC" w:rsidRDefault="00C82308" w:rsidP="00C8230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B6BDC">
        <w:rPr>
          <w:rFonts w:ascii="Times New Roman" w:hAnsi="Times New Roman"/>
          <w:sz w:val="20"/>
          <w:szCs w:val="20"/>
        </w:rPr>
        <w:t>Numerical variables that do not show normal distribution were shown with median (min-max).</w:t>
      </w:r>
    </w:p>
    <w:p w:rsidR="00C82308" w:rsidRPr="00FB6BDC" w:rsidRDefault="00C82308" w:rsidP="00C8230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B6BDC">
        <w:rPr>
          <w:rFonts w:ascii="Times New Roman" w:hAnsi="Times New Roman"/>
          <w:sz w:val="20"/>
          <w:szCs w:val="20"/>
        </w:rPr>
        <w:t>Categorical variables were shown as number (%).</w:t>
      </w:r>
    </w:p>
    <w:p w:rsidR="00C82308" w:rsidRPr="00FB6BDC" w:rsidRDefault="00C82308" w:rsidP="00C8230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74814">
        <w:rPr>
          <w:rFonts w:ascii="Times New Roman" w:hAnsi="Times New Roman"/>
          <w:color w:val="FF0000"/>
          <w:sz w:val="20"/>
          <w:szCs w:val="20"/>
          <w:vertAlign w:val="superscript"/>
        </w:rPr>
        <w:lastRenderedPageBreak/>
        <w:t>*</w:t>
      </w:r>
      <w:r w:rsidRPr="00FB6BDC">
        <w:rPr>
          <w:rFonts w:ascii="Times New Roman" w:hAnsi="Times New Roman"/>
          <w:sz w:val="20"/>
          <w:szCs w:val="20"/>
        </w:rPr>
        <w:t>p &lt;</w:t>
      </w:r>
      <w:r>
        <w:rPr>
          <w:rFonts w:ascii="Times New Roman" w:hAnsi="Times New Roman"/>
          <w:sz w:val="20"/>
          <w:szCs w:val="20"/>
        </w:rPr>
        <w:t xml:space="preserve"> </w:t>
      </w:r>
      <w:r w:rsidRPr="00FB6BDC">
        <w:rPr>
          <w:rFonts w:ascii="Times New Roman" w:hAnsi="Times New Roman"/>
          <w:sz w:val="20"/>
          <w:szCs w:val="20"/>
        </w:rPr>
        <w:t>0.05 shows statistical significance.</w:t>
      </w:r>
    </w:p>
    <w:p w:rsidR="00C82308" w:rsidRDefault="00C82308" w:rsidP="00C8230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 w:rsidRPr="00FB6BDC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>Abbreviations:</w:t>
      </w:r>
      <w:r w:rsidRPr="00FB6BDC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 HR: Hazard ratio, CI: Confidence interval, ECOG: Eastern cooperative oncology group, BM: Bone marrow, IPI: </w:t>
      </w:r>
      <w:r w:rsidRPr="0052353D">
        <w:rPr>
          <w:rFonts w:ascii="Times New Roman" w:hAnsi="Times New Roman"/>
          <w:sz w:val="20"/>
          <w:szCs w:val="20"/>
          <w:lang w:val="en-US"/>
        </w:rPr>
        <w:t>International Prognostic Index</w:t>
      </w:r>
      <w:r w:rsidRPr="00FB6BDC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, MIPI: </w:t>
      </w:r>
      <w:r w:rsidRPr="0052353D">
        <w:rPr>
          <w:rFonts w:ascii="Times New Roman" w:hAnsi="Times New Roman"/>
          <w:sz w:val="20"/>
          <w:szCs w:val="20"/>
          <w:lang w:val="en-US"/>
        </w:rPr>
        <w:t>Mantle Cell Lymphoma International Prognostic Index</w:t>
      </w:r>
      <w:r w:rsidRPr="00FB6BDC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, MIPIB: </w:t>
      </w:r>
      <w:r>
        <w:rPr>
          <w:rFonts w:ascii="Times New Roman" w:hAnsi="Times New Roman"/>
          <w:sz w:val="20"/>
          <w:szCs w:val="20"/>
          <w:lang w:val="en-US"/>
        </w:rPr>
        <w:t>B</w:t>
      </w:r>
      <w:r w:rsidRPr="0052353D">
        <w:rPr>
          <w:rFonts w:ascii="Times New Roman" w:hAnsi="Times New Roman"/>
          <w:sz w:val="20"/>
          <w:szCs w:val="20"/>
          <w:lang w:val="en-US"/>
        </w:rPr>
        <w:t>iological MIPI</w:t>
      </w:r>
      <w:r w:rsidRPr="00FB6BDC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, WBC: White blood cell, LD</w:t>
      </w:r>
      <w:r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H: Lactate dehydrogenase.</w:t>
      </w:r>
    </w:p>
    <w:p w:rsidR="00C82308" w:rsidRDefault="00C82308"/>
    <w:sectPr w:rsidR="00C82308" w:rsidSect="00633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C82308"/>
    <w:rsid w:val="006336CF"/>
    <w:rsid w:val="00C8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08"/>
    <w:pPr>
      <w:suppressAutoHyphens/>
      <w:spacing w:after="160" w:line="252" w:lineRule="auto"/>
    </w:pPr>
    <w:rPr>
      <w:rFonts w:ascii="Calibri" w:eastAsia="Calibri" w:hAnsi="Calibri" w:cs="Times New Roman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>HP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2019-10-02T10:40:00Z</dcterms:created>
  <dcterms:modified xsi:type="dcterms:W3CDTF">2019-10-02T10:41:00Z</dcterms:modified>
</cp:coreProperties>
</file>