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59" w:rsidRPr="00FB6BDC" w:rsidRDefault="00F80B59" w:rsidP="00F80B59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B6BDC">
        <w:rPr>
          <w:rFonts w:ascii="Times New Roman" w:hAnsi="Times New Roman"/>
          <w:b/>
          <w:sz w:val="20"/>
          <w:szCs w:val="20"/>
        </w:rPr>
        <w:t>Table 4</w:t>
      </w:r>
      <w:r>
        <w:rPr>
          <w:rFonts w:ascii="Times New Roman" w:hAnsi="Times New Roman"/>
          <w:b/>
          <w:sz w:val="20"/>
          <w:szCs w:val="20"/>
        </w:rPr>
        <w:t>:</w:t>
      </w:r>
      <w:r w:rsidRPr="00FB6BDC">
        <w:rPr>
          <w:rFonts w:ascii="Times New Roman" w:hAnsi="Times New Roman"/>
          <w:b/>
          <w:sz w:val="20"/>
          <w:szCs w:val="20"/>
        </w:rPr>
        <w:t xml:space="preserve"> </w:t>
      </w:r>
      <w:r w:rsidRPr="004C1DC7">
        <w:rPr>
          <w:rFonts w:ascii="Times New Roman" w:hAnsi="Times New Roman"/>
          <w:sz w:val="20"/>
          <w:szCs w:val="20"/>
        </w:rPr>
        <w:t>Treatment options and outcomes of patients</w:t>
      </w:r>
      <w:r>
        <w:rPr>
          <w:rFonts w:ascii="Times New Roman" w:hAnsi="Times New Roman"/>
          <w:sz w:val="20"/>
          <w:szCs w:val="20"/>
        </w:rPr>
        <w:t>.</w:t>
      </w:r>
    </w:p>
    <w:p w:rsidR="006336CF" w:rsidRDefault="006336CF"/>
    <w:tbl>
      <w:tblPr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312"/>
        <w:gridCol w:w="1276"/>
        <w:gridCol w:w="1275"/>
        <w:gridCol w:w="850"/>
        <w:gridCol w:w="1314"/>
        <w:gridCol w:w="937"/>
      </w:tblGrid>
      <w:tr w:rsidR="00F80B59" w:rsidRPr="00FB6BDC" w:rsidTr="00304B29">
        <w:trPr>
          <w:trHeight w:val="495"/>
        </w:trPr>
        <w:tc>
          <w:tcPr>
            <w:tcW w:w="3312" w:type="dxa"/>
            <w:shd w:val="clear" w:color="auto" w:fill="auto"/>
            <w:vAlign w:val="center"/>
          </w:tcPr>
          <w:p w:rsidR="00F80B59" w:rsidRPr="00915F2B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Variables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915F2B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Survivor</w:t>
            </w:r>
          </w:p>
          <w:p w:rsidR="00F80B59" w:rsidRPr="00915F2B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tr-TR"/>
              </w:rPr>
              <w:t>n = 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915F2B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Ex</w:t>
            </w:r>
          </w:p>
          <w:p w:rsidR="00F80B59" w:rsidRPr="00915F2B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n = 24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0B59" w:rsidRPr="00915F2B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HR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F80B59" w:rsidRPr="00915F2B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%95CI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F80B59" w:rsidRPr="00915F2B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 w:rsidRPr="00915F2B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p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Initial treatment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R-CHOP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(43.3)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(54.2)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RCHOP/RDHAP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(26.7)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(16.7)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0.75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0.24-2.31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0.617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R-HyperCVAD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(10.0)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0.55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0.07-4.26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0.568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R-Bendamustine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(.0)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0.986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0.01-1.08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0.999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R-CVP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(16.7)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2.27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0.73-7.06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0.157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R-COEP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0.81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0.10-6.34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0.843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R-chlorambucil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0.83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0.11-6.35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0.853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Response to after initial treatment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(66.7)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(25.0)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(23.3)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(16.7)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2.31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0.62-8.60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0.214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(16.7)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10.34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2.64-40.49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4777C5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(10.0)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(41.7)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7.00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2.35-20.82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&lt;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4777C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tr-TR"/>
              </w:rPr>
              <w:t>*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Second-line treatment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Not-given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(80.0)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(29.2)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R-HyperCVAD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(12.5)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6.87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1.70-27.74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0.007</w:t>
            </w:r>
            <w:r w:rsidRPr="00D03BFF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R-ICE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14.64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1.62-132.10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0.017</w:t>
            </w:r>
            <w:r w:rsidRPr="00D03BFF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R-DHAP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(8.3)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4.43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0.88-22.38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0.071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R-BENDA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(29.2)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5.70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1.91-17.02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0.002</w:t>
            </w:r>
            <w:r w:rsidRPr="00D03BFF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BORİD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(12.5)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3.06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0.76-12.26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0.114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HİGH-DOZ-MTX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(4.2)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23.09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2.44-218.65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0.006</w:t>
            </w:r>
            <w:r w:rsidRPr="00D03BFF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Response to second line treatment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CR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(66.7)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(33.3)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(64.7)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SD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(11.8)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PD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(23.5)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Otolog BMT after the initial treatment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(-)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(33.3)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(87.5)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ref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</w:p>
        </w:tc>
      </w:tr>
      <w:tr w:rsidR="00F80B59" w:rsidRPr="00FB6BDC" w:rsidTr="00304B29">
        <w:trPr>
          <w:trHeight w:val="300"/>
        </w:trPr>
        <w:tc>
          <w:tcPr>
            <w:tcW w:w="3312" w:type="dxa"/>
            <w:shd w:val="clear" w:color="auto" w:fill="auto"/>
          </w:tcPr>
          <w:p w:rsidR="00F80B59" w:rsidRPr="00FB6BDC" w:rsidRDefault="00F80B59" w:rsidP="00304B29">
            <w:pPr>
              <w:spacing w:after="0" w:line="360" w:lineRule="auto"/>
              <w:ind w:firstLine="2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(+)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(66.7)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B6B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tr-TR"/>
              </w:rPr>
              <w:t>(12.5)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0.13</w:t>
            </w:r>
          </w:p>
        </w:tc>
        <w:tc>
          <w:tcPr>
            <w:tcW w:w="1314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0.04-0.43</w:t>
            </w:r>
          </w:p>
        </w:tc>
        <w:tc>
          <w:tcPr>
            <w:tcW w:w="937" w:type="dxa"/>
            <w:shd w:val="clear" w:color="auto" w:fill="auto"/>
            <w:vAlign w:val="bottom"/>
          </w:tcPr>
          <w:p w:rsidR="00F80B59" w:rsidRPr="00FB6BDC" w:rsidRDefault="00F80B59" w:rsidP="00304B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FB6BDC"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  <w:t>0.001</w:t>
            </w:r>
            <w:r w:rsidRPr="00D03BFF">
              <w:rPr>
                <w:rFonts w:ascii="Times New Roman" w:eastAsia="Times New Roman" w:hAnsi="Times New Roman"/>
                <w:color w:val="FF0000"/>
                <w:sz w:val="20"/>
                <w:szCs w:val="20"/>
                <w:vertAlign w:val="superscript"/>
                <w:lang w:eastAsia="tr-TR"/>
              </w:rPr>
              <w:t>*</w:t>
            </w:r>
          </w:p>
        </w:tc>
      </w:tr>
    </w:tbl>
    <w:p w:rsidR="00F80B59" w:rsidRDefault="00F80B59"/>
    <w:p w:rsidR="00F80B59" w:rsidRPr="00FB6BDC" w:rsidRDefault="00F80B59" w:rsidP="00F80B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B6BDC">
        <w:rPr>
          <w:rFonts w:ascii="Times New Roman" w:hAnsi="Times New Roman"/>
          <w:sz w:val="20"/>
          <w:szCs w:val="20"/>
        </w:rPr>
        <w:t>Categorical variables were shown as number (%).</w:t>
      </w:r>
    </w:p>
    <w:p w:rsidR="00F80B59" w:rsidRPr="00FB6BDC" w:rsidRDefault="00F80B59" w:rsidP="00F80B59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03BFF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FB6BDC">
        <w:rPr>
          <w:rFonts w:ascii="Times New Roman" w:hAnsi="Times New Roman"/>
          <w:sz w:val="20"/>
          <w:szCs w:val="20"/>
        </w:rPr>
        <w:t xml:space="preserve">p </w:t>
      </w:r>
      <w:r w:rsidR="00BF42AC">
        <w:rPr>
          <w:rFonts w:ascii="Times New Roman" w:hAnsi="Times New Roman"/>
          <w:sz w:val="20"/>
          <w:szCs w:val="20"/>
        </w:rPr>
        <w:t xml:space="preserve"> </w:t>
      </w:r>
      <w:r w:rsidRPr="00FB6BDC">
        <w:rPr>
          <w:rFonts w:ascii="Times New Roman" w:hAnsi="Times New Roman"/>
          <w:sz w:val="20"/>
          <w:szCs w:val="20"/>
        </w:rPr>
        <w:t>&lt;</w:t>
      </w:r>
      <w:r w:rsidR="00BF42AC">
        <w:rPr>
          <w:rFonts w:ascii="Times New Roman" w:hAnsi="Times New Roman"/>
          <w:sz w:val="20"/>
          <w:szCs w:val="20"/>
        </w:rPr>
        <w:t xml:space="preserve"> </w:t>
      </w:r>
      <w:r w:rsidRPr="00FB6BDC">
        <w:rPr>
          <w:rFonts w:ascii="Times New Roman" w:hAnsi="Times New Roman"/>
          <w:sz w:val="20"/>
          <w:szCs w:val="20"/>
        </w:rPr>
        <w:t>0.05 shows statistical significance.</w:t>
      </w:r>
    </w:p>
    <w:p w:rsidR="00F80B59" w:rsidRPr="00FB6BDC" w:rsidRDefault="00F80B59" w:rsidP="00F80B59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tr-TR"/>
        </w:rPr>
      </w:pPr>
      <w:r w:rsidRPr="00FB6BDC">
        <w:rPr>
          <w:rFonts w:ascii="Times New Roman" w:eastAsia="Times New Roman" w:hAnsi="Times New Roman"/>
          <w:b/>
          <w:color w:val="000000"/>
          <w:sz w:val="20"/>
          <w:szCs w:val="20"/>
          <w:lang w:eastAsia="tr-TR"/>
        </w:rPr>
        <w:lastRenderedPageBreak/>
        <w:t>Abbreviations: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 HR: Hazard ratio, CI: Confidence interval, R-CHOP: </w:t>
      </w:r>
      <w:r w:rsidRPr="00FB6BDC">
        <w:rPr>
          <w:rFonts w:ascii="Times New Roman" w:hAnsi="Times New Roman"/>
          <w:sz w:val="20"/>
          <w:szCs w:val="20"/>
        </w:rPr>
        <w:t xml:space="preserve">(rituximab, cyclophosphamide, doxorubicin, vincristine and prednisone), 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RCHOP/RDHAP</w:t>
      </w:r>
      <w:r w:rsidRPr="00FB6BDC">
        <w:rPr>
          <w:rFonts w:ascii="Times New Roman" w:hAnsi="Times New Roman"/>
          <w:sz w:val="20"/>
          <w:szCs w:val="20"/>
        </w:rPr>
        <w:t>: (rituximab, cyclophosphamide, doxorubic</w:t>
      </w:r>
      <w:r w:rsidR="00E04BED">
        <w:rPr>
          <w:rFonts w:ascii="Times New Roman" w:hAnsi="Times New Roman"/>
          <w:sz w:val="20"/>
          <w:szCs w:val="20"/>
        </w:rPr>
        <w:t>in, vincristine and prednisone/</w:t>
      </w:r>
      <w:r w:rsidRPr="00FB6BDC">
        <w:rPr>
          <w:rFonts w:ascii="Times New Roman" w:hAnsi="Times New Roman"/>
          <w:sz w:val="20"/>
          <w:szCs w:val="20"/>
        </w:rPr>
        <w:t>rituxiamb, dexamethasone, high-dose cytarabine, cisplatin),</w:t>
      </w:r>
      <w:r>
        <w:rPr>
          <w:rFonts w:ascii="Times New Roman" w:hAnsi="Times New Roman"/>
          <w:sz w:val="20"/>
          <w:szCs w:val="20"/>
        </w:rPr>
        <w:t xml:space="preserve"> 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>R-HyperCVAD :</w:t>
      </w:r>
      <w:r w:rsidRPr="00FB6BDC">
        <w:rPr>
          <w:rFonts w:ascii="Times New Roman" w:hAnsi="Times New Roman"/>
          <w:sz w:val="20"/>
          <w:szCs w:val="20"/>
        </w:rPr>
        <w:t xml:space="preserve"> (rituximab plus hyperfractionated cyclophosphamide, vincristine, doxorubicin and dexamethasone alternating with rituximab plus high-dose methotrexate and cytarabine), 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R-CVP: </w:t>
      </w:r>
      <w:r w:rsidRPr="00FB6BDC">
        <w:rPr>
          <w:rFonts w:ascii="Times New Roman" w:hAnsi="Times New Roman"/>
          <w:sz w:val="20"/>
          <w:szCs w:val="20"/>
        </w:rPr>
        <w:t xml:space="preserve">(rituximab, cyclophosphamide, prednisone.), 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R-COEP: , ……….. CR: Complet remision, PR: Partial remision, SD: </w:t>
      </w:r>
      <w:r w:rsidRPr="00FB6BDC">
        <w:rPr>
          <w:rFonts w:ascii="Times New Roman" w:hAnsi="Times New Roman"/>
          <w:sz w:val="20"/>
          <w:szCs w:val="20"/>
        </w:rPr>
        <w:t>Stabale disease</w:t>
      </w:r>
      <w:r w:rsidRPr="00FB6BDC">
        <w:rPr>
          <w:rFonts w:ascii="Times New Roman" w:eastAsia="Times New Roman" w:hAnsi="Times New Roman"/>
          <w:color w:val="000000"/>
          <w:sz w:val="20"/>
          <w:szCs w:val="20"/>
          <w:lang w:eastAsia="tr-TR"/>
        </w:rPr>
        <w:t xml:space="preserve">, PD: </w:t>
      </w:r>
      <w:r w:rsidRPr="00FB6BDC">
        <w:rPr>
          <w:rFonts w:ascii="Times New Roman" w:hAnsi="Times New Roman"/>
          <w:sz w:val="20"/>
          <w:szCs w:val="20"/>
        </w:rPr>
        <w:t>Progres</w:t>
      </w:r>
      <w:r w:rsidR="00416CE4">
        <w:rPr>
          <w:rFonts w:ascii="Times New Roman" w:hAnsi="Times New Roman"/>
          <w:sz w:val="20"/>
          <w:szCs w:val="20"/>
        </w:rPr>
        <w:t>sive</w:t>
      </w:r>
      <w:r w:rsidRPr="00FB6BDC">
        <w:rPr>
          <w:rFonts w:ascii="Times New Roman" w:hAnsi="Times New Roman"/>
          <w:sz w:val="20"/>
          <w:szCs w:val="20"/>
        </w:rPr>
        <w:t xml:space="preserve"> disease.</w:t>
      </w:r>
    </w:p>
    <w:p w:rsidR="00F80B59" w:rsidRDefault="00F80B59"/>
    <w:sectPr w:rsidR="00F80B59" w:rsidSect="006336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F80B59"/>
    <w:rsid w:val="00416CE4"/>
    <w:rsid w:val="006336CF"/>
    <w:rsid w:val="00727B10"/>
    <w:rsid w:val="00BF42AC"/>
    <w:rsid w:val="00E04BED"/>
    <w:rsid w:val="00F80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59"/>
    <w:pPr>
      <w:suppressAutoHyphens/>
      <w:spacing w:after="160" w:line="252" w:lineRule="auto"/>
    </w:pPr>
    <w:rPr>
      <w:rFonts w:ascii="Calibri" w:eastAsia="Calibri" w:hAnsi="Calibri" w:cs="Times New Roman"/>
      <w:lang w:val="it-I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293</Words>
  <Characters>1675</Characters>
  <Application>Microsoft Office Word</Application>
  <DocSecurity>0</DocSecurity>
  <Lines>13</Lines>
  <Paragraphs>3</Paragraphs>
  <ScaleCrop>false</ScaleCrop>
  <Company>HP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10</cp:revision>
  <dcterms:created xsi:type="dcterms:W3CDTF">2019-10-02T10:39:00Z</dcterms:created>
  <dcterms:modified xsi:type="dcterms:W3CDTF">2019-10-16T12:12:00Z</dcterms:modified>
</cp:coreProperties>
</file>