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7" w:rsidRPr="001B45A1" w:rsidRDefault="00AF24A7" w:rsidP="00AF24A7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1B45A1">
        <w:rPr>
          <w:rFonts w:ascii="Times New Roman" w:hAnsi="Times New Roman"/>
          <w:b/>
          <w:iCs/>
          <w:color w:val="000000" w:themeColor="text1"/>
          <w:sz w:val="20"/>
          <w:szCs w:val="20"/>
        </w:rPr>
        <w:t>Supplement Table 4:</w:t>
      </w:r>
      <w:r w:rsidRPr="001B45A1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Unadjusted and adjusted hazard ratio for pre-procedural TIMI 0-2 flow vs. pre-procedural TIMI 3 flow.</w:t>
      </w:r>
    </w:p>
    <w:tbl>
      <w:tblPr>
        <w:tblW w:w="7560" w:type="dxa"/>
        <w:tblInd w:w="108" w:type="dxa"/>
        <w:tblLook w:val="04A0"/>
      </w:tblPr>
      <w:tblGrid>
        <w:gridCol w:w="1800"/>
        <w:gridCol w:w="1967"/>
        <w:gridCol w:w="913"/>
        <w:gridCol w:w="1890"/>
        <w:gridCol w:w="990"/>
      </w:tblGrid>
      <w:tr w:rsidR="00AF24A7" w:rsidRPr="001B45A1" w:rsidTr="00541D03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Unadjusted hazard ratio (95% CI)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804A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Adjusted hazard ratio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30 day MACE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1.566 [1.124-2.181]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1.312 [0.920-1.869]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0.134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≤ 30 day CVD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1.816 [1.223-2.697]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1.430 [0.945-2.165]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MACE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1.204 [0.978-1.483]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1.149 [0.922-1.433]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0.216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&gt; 30 day MACE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0.977 [0.746-1.279]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0.964 [0.726-1.280]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0.799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all-cause death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1.321 [1.025-1.703]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1.185 [0.906-1.551]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0.216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1-year CVD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1.511 [1.097-2.081]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1.328 [0.947-1.862]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0.999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&gt; 30</w:t>
            </w:r>
            <w:r w:rsidR="004752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day CVD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0.999 [0.564-1.768]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1.089 [0.601-1.974]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0.779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Recurrent MI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0.710 [0.461-1.694]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1.039 [0.479-2.252]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0.922</w:t>
            </w:r>
          </w:p>
        </w:tc>
      </w:tr>
      <w:tr w:rsidR="00AF24A7" w:rsidRPr="001B45A1" w:rsidTr="00541D0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RePCI (TVR/TLR)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0.899 [0.622-1.302]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0.574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0.944 [0.642-1.388]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4A7" w:rsidRPr="001B45A1" w:rsidRDefault="00AF24A7" w:rsidP="00541D0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B45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0.769</w:t>
            </w:r>
          </w:p>
        </w:tc>
      </w:tr>
    </w:tbl>
    <w:p w:rsidR="001B45A1" w:rsidRPr="001B45A1" w:rsidRDefault="001B45A1" w:rsidP="001B45A1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p w:rsidR="001B45A1" w:rsidRPr="001B45A1" w:rsidRDefault="001B45A1" w:rsidP="001B45A1">
      <w:pPr>
        <w:spacing w:after="0" w:line="360" w:lineRule="auto"/>
        <w:jc w:val="both"/>
        <w:rPr>
          <w:rFonts w:ascii="Times New Roman" w:eastAsia="BatangChe" w:hAnsi="Times New Roman"/>
          <w:color w:val="000000" w:themeColor="text1"/>
          <w:sz w:val="20"/>
          <w:szCs w:val="20"/>
        </w:rPr>
      </w:pPr>
      <w:r w:rsidRPr="001B45A1">
        <w:rPr>
          <w:rFonts w:ascii="Times New Roman" w:hAnsi="Times New Roman"/>
          <w:iCs/>
          <w:color w:val="000000" w:themeColor="text1"/>
          <w:sz w:val="20"/>
          <w:szCs w:val="20"/>
        </w:rPr>
        <w:t>TIMI: Thrombolysis in Myocardial Infarction; MACE: M</w:t>
      </w:r>
      <w:r w:rsidRPr="001B45A1">
        <w:rPr>
          <w:rFonts w:ascii="Times New Roman" w:hAnsi="Times New Roman"/>
          <w:bCs/>
          <w:iCs/>
          <w:color w:val="000000" w:themeColor="text1"/>
          <w:sz w:val="20"/>
          <w:szCs w:val="20"/>
        </w:rPr>
        <w:t>ajor Adverse Cardiac Events;</w:t>
      </w:r>
      <w:r w:rsidRPr="001B45A1">
        <w:rPr>
          <w:rFonts w:ascii="Times New Roman" w:hAnsi="Times New Roman" w:hint="eastAsia"/>
          <w:color w:val="000000" w:themeColor="text1"/>
          <w:sz w:val="20"/>
          <w:szCs w:val="20"/>
        </w:rPr>
        <w:t xml:space="preserve"> CVD</w:t>
      </w:r>
      <w:r w:rsidRPr="001B45A1">
        <w:rPr>
          <w:rFonts w:ascii="Times New Roman" w:hAnsi="Times New Roman"/>
          <w:color w:val="000000" w:themeColor="text1"/>
          <w:sz w:val="20"/>
          <w:szCs w:val="20"/>
        </w:rPr>
        <w:t>: C</w:t>
      </w:r>
      <w:r w:rsidRPr="001B45A1">
        <w:rPr>
          <w:rFonts w:ascii="Times New Roman" w:hAnsi="Times New Roman" w:hint="eastAsia"/>
          <w:color w:val="000000" w:themeColor="text1"/>
          <w:sz w:val="20"/>
          <w:szCs w:val="20"/>
        </w:rPr>
        <w:t xml:space="preserve">ardiovascular </w:t>
      </w:r>
      <w:r w:rsidRPr="001B45A1">
        <w:rPr>
          <w:rFonts w:ascii="Times New Roman" w:hAnsi="Times New Roman"/>
          <w:color w:val="000000" w:themeColor="text1"/>
          <w:sz w:val="20"/>
          <w:szCs w:val="20"/>
        </w:rPr>
        <w:t xml:space="preserve">Death; TVR: Target Vessel Revascularization; TLR: Target Lesion Revascularization; RePCI: Recurrent Percutaneous Coronary Intervention. </w:t>
      </w:r>
      <w:r w:rsidRPr="001B45A1">
        <w:rPr>
          <w:rFonts w:ascii="Times New Roman" w:eastAsia="BatangChe" w:hAnsi="Times New Roman"/>
          <w:color w:val="000000" w:themeColor="text1"/>
          <w:sz w:val="20"/>
          <w:szCs w:val="20"/>
        </w:rPr>
        <w:t>MACE is defined as the composite of the death of any cause, recurrence of MI, TLR, TVR and CABG.</w:t>
      </w:r>
    </w:p>
    <w:p w:rsidR="001B45A1" w:rsidRPr="001B45A1" w:rsidRDefault="001B45A1" w:rsidP="001B45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41524" w:rsidRPr="001B45A1" w:rsidRDefault="001B45A1" w:rsidP="001B45A1">
      <w:pPr>
        <w:rPr>
          <w:color w:val="000000" w:themeColor="text1"/>
        </w:rPr>
      </w:pPr>
      <w:r w:rsidRPr="001B45A1">
        <w:rPr>
          <w:rFonts w:ascii="Times New Roman" w:hAnsi="Times New Roman"/>
          <w:color w:val="000000" w:themeColor="text1"/>
          <w:sz w:val="20"/>
          <w:szCs w:val="20"/>
        </w:rPr>
        <w:t>Adjustment: age, sex, history of hypertension, diabetes, and smoking, killip I-II vs. III-IV, multi-vessel disease, lesion type A/B1 vs. B2/C, target vessels, Door to balloon time, CK-MB, Creatinine, use of aspirin, glycoprotein IIb/IIIa inhibitors, beta-blocker, RAS blocker, statin at admission.</w:t>
      </w:r>
    </w:p>
    <w:sectPr w:rsidR="00641524" w:rsidRPr="001B45A1" w:rsidSect="0064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F24A7"/>
    <w:rsid w:val="001B45A1"/>
    <w:rsid w:val="001D6700"/>
    <w:rsid w:val="00356E66"/>
    <w:rsid w:val="0047522F"/>
    <w:rsid w:val="0057750B"/>
    <w:rsid w:val="00641524"/>
    <w:rsid w:val="00804A68"/>
    <w:rsid w:val="00A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2018-04-16T04:26:00Z</dcterms:created>
  <dcterms:modified xsi:type="dcterms:W3CDTF">2018-04-30T10:25:00Z</dcterms:modified>
</cp:coreProperties>
</file>