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6C" w:rsidRPr="00D5401C" w:rsidRDefault="0042566C" w:rsidP="0042566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5401C">
        <w:rPr>
          <w:rFonts w:ascii="Times New Roman" w:hAnsi="Times New Roman"/>
          <w:b/>
          <w:sz w:val="20"/>
          <w:szCs w:val="20"/>
        </w:rPr>
        <w:t>Appendix 5</w:t>
      </w:r>
      <w:r>
        <w:rPr>
          <w:rFonts w:ascii="Times New Roman" w:hAnsi="Times New Roman"/>
          <w:sz w:val="20"/>
          <w:szCs w:val="20"/>
        </w:rPr>
        <w:t>:</w:t>
      </w:r>
      <w:r w:rsidRPr="00D5401C">
        <w:rPr>
          <w:rFonts w:ascii="Times New Roman" w:hAnsi="Times New Roman"/>
          <w:sz w:val="20"/>
          <w:szCs w:val="20"/>
        </w:rPr>
        <w:t xml:space="preserve"> Results for individual pneumococcal vaccine measures</w:t>
      </w:r>
      <w:r>
        <w:rPr>
          <w:rFonts w:ascii="Times New Roman" w:hAnsi="Times New Roman"/>
          <w:sz w:val="20"/>
          <w:szCs w:val="20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078"/>
        <w:gridCol w:w="6154"/>
        <w:gridCol w:w="1190"/>
        <w:gridCol w:w="560"/>
      </w:tblGrid>
      <w:tr w:rsidR="0042566C" w:rsidRPr="00D5401C" w:rsidTr="003F0366">
        <w:trPr>
          <w:cantSplit/>
          <w:tblHeader/>
          <w:jc w:val="center"/>
        </w:trPr>
        <w:tc>
          <w:tcPr>
            <w:tcW w:w="2606" w:type="pct"/>
            <w:shd w:val="clear" w:color="auto" w:fill="FFFFFF"/>
            <w:tcMar>
              <w:left w:w="17" w:type="dxa"/>
              <w:right w:w="17" w:type="dxa"/>
            </w:tcMar>
            <w:vAlign w:val="bottom"/>
          </w:tcPr>
          <w:p w:rsidR="0042566C" w:rsidRPr="00D5401C" w:rsidRDefault="0042566C" w:rsidP="003F0366">
            <w:pPr>
              <w:keepNext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01C">
              <w:rPr>
                <w:rFonts w:ascii="Times New Roman" w:hAnsi="Times New Roman"/>
                <w:color w:val="000000"/>
                <w:sz w:val="20"/>
                <w:szCs w:val="20"/>
              </w:rPr>
              <w:t>Measure</w:t>
            </w:r>
          </w:p>
        </w:tc>
        <w:tc>
          <w:tcPr>
            <w:tcW w:w="1056" w:type="pct"/>
            <w:shd w:val="clear" w:color="auto" w:fill="FFFFFF"/>
            <w:tcMar>
              <w:left w:w="17" w:type="dxa"/>
              <w:right w:w="17" w:type="dxa"/>
            </w:tcMar>
            <w:vAlign w:val="bottom"/>
          </w:tcPr>
          <w:p w:rsidR="0042566C" w:rsidRPr="00D5401C" w:rsidRDefault="0042566C" w:rsidP="003F0366">
            <w:pPr>
              <w:keepNext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01C">
              <w:rPr>
                <w:rFonts w:ascii="Times New Roman" w:hAnsi="Times New Roman"/>
                <w:color w:val="000000"/>
                <w:sz w:val="20"/>
                <w:szCs w:val="20"/>
              </w:rPr>
              <w:t>Baseline</w:t>
            </w:r>
            <w:r w:rsidRPr="00D5401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(N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</w:t>
            </w:r>
            <w:r w:rsidRPr="00D5401C">
              <w:rPr>
                <w:rFonts w:ascii="Times New Roman" w:hAnsi="Times New Roman"/>
                <w:color w:val="000000"/>
                <w:sz w:val="20"/>
                <w:szCs w:val="20"/>
              </w:rPr>
              <w:t>157,335)</w:t>
            </w:r>
          </w:p>
        </w:tc>
        <w:tc>
          <w:tcPr>
            <w:tcW w:w="1021" w:type="pct"/>
            <w:shd w:val="clear" w:color="auto" w:fill="FFFFFF"/>
            <w:tcMar>
              <w:left w:w="17" w:type="dxa"/>
              <w:right w:w="17" w:type="dxa"/>
            </w:tcMar>
            <w:vAlign w:val="bottom"/>
          </w:tcPr>
          <w:p w:rsidR="0042566C" w:rsidRPr="00D5401C" w:rsidRDefault="0042566C" w:rsidP="003F0366">
            <w:pPr>
              <w:keepNext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01C">
              <w:rPr>
                <w:rFonts w:ascii="Times New Roman" w:hAnsi="Times New Roman"/>
                <w:color w:val="000000"/>
                <w:sz w:val="20"/>
                <w:szCs w:val="20"/>
              </w:rPr>
              <w:t>Follow-up</w:t>
            </w:r>
            <w:r w:rsidRPr="00D5401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(N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</w:t>
            </w:r>
            <w:r w:rsidRPr="00D5401C">
              <w:rPr>
                <w:rFonts w:ascii="Times New Roman" w:hAnsi="Times New Roman"/>
                <w:color w:val="000000"/>
                <w:sz w:val="20"/>
                <w:szCs w:val="20"/>
              </w:rPr>
              <w:t>153,688)</w:t>
            </w:r>
          </w:p>
        </w:tc>
        <w:tc>
          <w:tcPr>
            <w:tcW w:w="317" w:type="pct"/>
            <w:shd w:val="clear" w:color="auto" w:fill="FFFFFF"/>
          </w:tcPr>
          <w:p w:rsidR="0042566C" w:rsidRPr="00D5401C" w:rsidRDefault="0042566C" w:rsidP="003F0366">
            <w:pPr>
              <w:keepNext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566C" w:rsidRPr="00D5401C" w:rsidRDefault="0042566C" w:rsidP="003F0366">
            <w:pPr>
              <w:keepNext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01C">
              <w:rPr>
                <w:rFonts w:ascii="Times New Roman" w:hAnsi="Times New Roman"/>
                <w:color w:val="000000"/>
                <w:sz w:val="20"/>
                <w:szCs w:val="20"/>
              </w:rPr>
              <w:t>p-value</w:t>
            </w:r>
          </w:p>
        </w:tc>
      </w:tr>
      <w:tr w:rsidR="0042566C" w:rsidRPr="00D5401C" w:rsidTr="003F0366">
        <w:trPr>
          <w:cantSplit/>
          <w:jc w:val="center"/>
        </w:trPr>
        <w:tc>
          <w:tcPr>
            <w:tcW w:w="2606" w:type="pct"/>
            <w:shd w:val="clear" w:color="auto" w:fill="FFFFFF"/>
            <w:tcMar>
              <w:left w:w="17" w:type="dxa"/>
              <w:right w:w="17" w:type="dxa"/>
            </w:tcMar>
            <w:vAlign w:val="bottom"/>
          </w:tcPr>
          <w:p w:rsidR="0042566C" w:rsidRPr="00D5401C" w:rsidRDefault="0042566C" w:rsidP="003F0366">
            <w:pPr>
              <w:adjustRightInd w:val="0"/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D5401C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Primary Measures</w:t>
            </w:r>
          </w:p>
        </w:tc>
        <w:tc>
          <w:tcPr>
            <w:tcW w:w="1056" w:type="pct"/>
            <w:shd w:val="clear" w:color="auto" w:fill="FFFFFF"/>
            <w:tcMar>
              <w:left w:w="17" w:type="dxa"/>
              <w:right w:w="17" w:type="dxa"/>
            </w:tcMar>
          </w:tcPr>
          <w:p w:rsidR="0042566C" w:rsidRPr="00D5401C" w:rsidRDefault="0042566C" w:rsidP="003F0366">
            <w:pPr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shd w:val="clear" w:color="auto" w:fill="FFFFFF"/>
            <w:tcMar>
              <w:left w:w="17" w:type="dxa"/>
              <w:right w:w="17" w:type="dxa"/>
            </w:tcMar>
          </w:tcPr>
          <w:p w:rsidR="0042566C" w:rsidRPr="00D5401C" w:rsidRDefault="0042566C" w:rsidP="003F0366">
            <w:pPr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FFFFFF"/>
          </w:tcPr>
          <w:p w:rsidR="0042566C" w:rsidRPr="00D5401C" w:rsidRDefault="0042566C" w:rsidP="003F036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66C" w:rsidRPr="00D5401C" w:rsidTr="003F0366">
        <w:trPr>
          <w:cantSplit/>
          <w:jc w:val="center"/>
        </w:trPr>
        <w:tc>
          <w:tcPr>
            <w:tcW w:w="2606" w:type="pct"/>
            <w:shd w:val="clear" w:color="auto" w:fill="FFFFFF"/>
            <w:tcMar>
              <w:left w:w="17" w:type="dxa"/>
              <w:right w:w="17" w:type="dxa"/>
            </w:tcMar>
          </w:tcPr>
          <w:p w:rsidR="0042566C" w:rsidRPr="00D5401C" w:rsidRDefault="0042566C" w:rsidP="003F0366">
            <w:pPr>
              <w:adjustRightInd w:val="0"/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540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Pneumonia Vaccination Status for Older Adults</w:t>
            </w:r>
          </w:p>
          <w:p w:rsidR="0042566C" w:rsidRPr="00D5401C" w:rsidRDefault="0042566C" w:rsidP="003F0366">
            <w:pPr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01C">
              <w:rPr>
                <w:rFonts w:ascii="Times New Roman" w:hAnsi="Times New Roman"/>
                <w:sz w:val="20"/>
                <w:szCs w:val="20"/>
              </w:rPr>
              <w:t xml:space="preserve">Percentage of adults </w:t>
            </w:r>
            <w:r w:rsidRPr="00D5401C">
              <w:rPr>
                <w:rFonts w:ascii="Times New Roman" w:hAnsi="Times New Roman"/>
                <w:sz w:val="20"/>
                <w:szCs w:val="20"/>
                <w:u w:val="single"/>
              </w:rPr>
              <w:t>&gt;</w:t>
            </w:r>
            <w:r w:rsidRPr="00D5401C">
              <w:rPr>
                <w:rFonts w:ascii="Times New Roman" w:hAnsi="Times New Roman"/>
                <w:sz w:val="20"/>
                <w:szCs w:val="20"/>
              </w:rPr>
              <w:t xml:space="preserve"> 65 years with a record of receiving BOTH one PCV13 </w:t>
            </w:r>
            <w:r w:rsidRPr="00D5401C">
              <w:rPr>
                <w:rFonts w:ascii="Times New Roman" w:hAnsi="Times New Roman"/>
                <w:bCs/>
                <w:sz w:val="20"/>
                <w:szCs w:val="20"/>
              </w:rPr>
              <w:t xml:space="preserve">AND </w:t>
            </w:r>
            <w:r w:rsidRPr="00D5401C">
              <w:rPr>
                <w:rFonts w:ascii="Times New Roman" w:hAnsi="Times New Roman"/>
                <w:sz w:val="20"/>
                <w:szCs w:val="20"/>
              </w:rPr>
              <w:t>at least one PPSV23 vaccine.</w:t>
            </w:r>
          </w:p>
        </w:tc>
        <w:tc>
          <w:tcPr>
            <w:tcW w:w="1056" w:type="pct"/>
            <w:shd w:val="clear" w:color="auto" w:fill="FFFFFF"/>
            <w:tcMar>
              <w:left w:w="17" w:type="dxa"/>
              <w:right w:w="17" w:type="dxa"/>
            </w:tcMar>
          </w:tcPr>
          <w:p w:rsidR="0042566C" w:rsidRPr="00D5401C" w:rsidRDefault="0042566C" w:rsidP="003F0366">
            <w:pPr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01C">
              <w:rPr>
                <w:rFonts w:ascii="Times New Roman" w:hAnsi="Times New Roman"/>
                <w:color w:val="000000"/>
                <w:sz w:val="20"/>
                <w:szCs w:val="20"/>
              </w:rPr>
              <w:t>13,290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D5401C">
              <w:rPr>
                <w:rFonts w:ascii="Times New Roman" w:hAnsi="Times New Roman"/>
                <w:color w:val="000000"/>
                <w:sz w:val="20"/>
                <w:szCs w:val="20"/>
              </w:rPr>
              <w:t>44,800 (29.7%)</w:t>
            </w:r>
          </w:p>
        </w:tc>
        <w:tc>
          <w:tcPr>
            <w:tcW w:w="1021" w:type="pct"/>
            <w:shd w:val="clear" w:color="auto" w:fill="FFFFFF"/>
            <w:tcMar>
              <w:left w:w="17" w:type="dxa"/>
              <w:right w:w="17" w:type="dxa"/>
            </w:tcMar>
          </w:tcPr>
          <w:p w:rsidR="0042566C" w:rsidRPr="00D5401C" w:rsidRDefault="0042566C" w:rsidP="003F0366">
            <w:pPr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01C">
              <w:rPr>
                <w:rFonts w:ascii="Times New Roman" w:hAnsi="Times New Roman"/>
                <w:color w:val="000000"/>
                <w:sz w:val="20"/>
                <w:szCs w:val="20"/>
              </w:rPr>
              <w:t>25,724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D5401C">
              <w:rPr>
                <w:rFonts w:ascii="Times New Roman" w:hAnsi="Times New Roman"/>
                <w:color w:val="000000"/>
                <w:sz w:val="20"/>
                <w:szCs w:val="20"/>
              </w:rPr>
              <w:t>44,495 (57.8%)</w:t>
            </w:r>
          </w:p>
        </w:tc>
        <w:tc>
          <w:tcPr>
            <w:tcW w:w="317" w:type="pct"/>
            <w:shd w:val="clear" w:color="auto" w:fill="FFFFFF"/>
          </w:tcPr>
          <w:p w:rsidR="0042566C" w:rsidRPr="00D5401C" w:rsidRDefault="0042566C" w:rsidP="003F036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0.</w:t>
            </w:r>
            <w:r w:rsidRPr="00D5401C">
              <w:rPr>
                <w:rFonts w:ascii="Times New Roman" w:hAnsi="Times New Roman"/>
                <w:sz w:val="20"/>
                <w:szCs w:val="20"/>
              </w:rPr>
              <w:t>0001</w:t>
            </w:r>
          </w:p>
        </w:tc>
      </w:tr>
      <w:tr w:rsidR="0042566C" w:rsidRPr="00D5401C" w:rsidTr="003F0366">
        <w:trPr>
          <w:cantSplit/>
          <w:jc w:val="center"/>
        </w:trPr>
        <w:tc>
          <w:tcPr>
            <w:tcW w:w="2606" w:type="pct"/>
            <w:shd w:val="clear" w:color="auto" w:fill="FFFFFF"/>
            <w:tcMar>
              <w:left w:w="17" w:type="dxa"/>
              <w:right w:w="17" w:type="dxa"/>
            </w:tcMar>
          </w:tcPr>
          <w:p w:rsidR="0042566C" w:rsidRPr="00D5401C" w:rsidRDefault="0042566C" w:rsidP="003F0366">
            <w:pPr>
              <w:adjustRightInd w:val="0"/>
              <w:spacing w:after="0"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540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Pneumococcal Vaccination for High-Risk Adults aged 19-64 years</w:t>
            </w:r>
          </w:p>
          <w:p w:rsidR="0042566C" w:rsidRPr="00D5401C" w:rsidRDefault="0042566C" w:rsidP="003F0366">
            <w:pPr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01C">
              <w:rPr>
                <w:rFonts w:ascii="Times New Roman" w:hAnsi="Times New Roman"/>
                <w:sz w:val="20"/>
                <w:szCs w:val="20"/>
              </w:rPr>
              <w:t xml:space="preserve">Percentage of patients aged 19-64 with an </w:t>
            </w:r>
            <w:proofErr w:type="spellStart"/>
            <w:r w:rsidRPr="00D5401C">
              <w:rPr>
                <w:rFonts w:ascii="Times New Roman" w:hAnsi="Times New Roman"/>
                <w:sz w:val="20"/>
                <w:szCs w:val="20"/>
              </w:rPr>
              <w:t>immunocompromising</w:t>
            </w:r>
            <w:proofErr w:type="spellEnd"/>
            <w:r w:rsidRPr="00D5401C">
              <w:rPr>
                <w:rFonts w:ascii="Times New Roman" w:hAnsi="Times New Roman"/>
                <w:sz w:val="20"/>
                <w:szCs w:val="20"/>
              </w:rPr>
              <w:t xml:space="preserve"> condition OR </w:t>
            </w:r>
            <w:proofErr w:type="spellStart"/>
            <w:r w:rsidRPr="00D5401C">
              <w:rPr>
                <w:rFonts w:ascii="Times New Roman" w:hAnsi="Times New Roman"/>
                <w:sz w:val="20"/>
                <w:szCs w:val="20"/>
              </w:rPr>
              <w:t>Immunocompetent</w:t>
            </w:r>
            <w:proofErr w:type="spellEnd"/>
            <w:r w:rsidRPr="00D5401C">
              <w:rPr>
                <w:rFonts w:ascii="Times New Roman" w:hAnsi="Times New Roman"/>
                <w:sz w:val="20"/>
                <w:szCs w:val="20"/>
              </w:rPr>
              <w:t xml:space="preserve"> with a chronic medical condition who received both PPSV23 and PCV13 (if high risk condition is </w:t>
            </w:r>
            <w:proofErr w:type="spellStart"/>
            <w:r w:rsidRPr="00D5401C">
              <w:rPr>
                <w:rFonts w:ascii="Times New Roman" w:hAnsi="Times New Roman"/>
                <w:sz w:val="20"/>
                <w:szCs w:val="20"/>
              </w:rPr>
              <w:t>immunocompromising</w:t>
            </w:r>
            <w:proofErr w:type="spellEnd"/>
            <w:r w:rsidRPr="00D5401C">
              <w:rPr>
                <w:rFonts w:ascii="Times New Roman" w:hAnsi="Times New Roman"/>
                <w:sz w:val="20"/>
                <w:szCs w:val="20"/>
              </w:rPr>
              <w:t xml:space="preserve">) OR PPSV23 only (if </w:t>
            </w:r>
            <w:proofErr w:type="spellStart"/>
            <w:r w:rsidRPr="00D5401C">
              <w:rPr>
                <w:rFonts w:ascii="Times New Roman" w:hAnsi="Times New Roman"/>
                <w:sz w:val="20"/>
                <w:szCs w:val="20"/>
              </w:rPr>
              <w:t>immunocompetent</w:t>
            </w:r>
            <w:proofErr w:type="spellEnd"/>
            <w:r w:rsidRPr="00D5401C">
              <w:rPr>
                <w:rFonts w:ascii="Times New Roman" w:hAnsi="Times New Roman"/>
                <w:sz w:val="20"/>
                <w:szCs w:val="20"/>
              </w:rPr>
              <w:t xml:space="preserve"> with chronic medical condition).</w:t>
            </w:r>
          </w:p>
        </w:tc>
        <w:tc>
          <w:tcPr>
            <w:tcW w:w="1056" w:type="pct"/>
            <w:shd w:val="clear" w:color="auto" w:fill="FFFFFF"/>
            <w:tcMar>
              <w:left w:w="17" w:type="dxa"/>
              <w:right w:w="17" w:type="dxa"/>
            </w:tcMar>
          </w:tcPr>
          <w:p w:rsidR="0042566C" w:rsidRPr="00D5401C" w:rsidRDefault="0042566C" w:rsidP="003F0366">
            <w:pPr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01C">
              <w:rPr>
                <w:rFonts w:ascii="Times New Roman" w:hAnsi="Times New Roman"/>
                <w:color w:val="000000"/>
                <w:sz w:val="20"/>
                <w:szCs w:val="20"/>
              </w:rPr>
              <w:t>7,866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D5401C">
              <w:rPr>
                <w:rFonts w:ascii="Times New Roman" w:hAnsi="Times New Roman"/>
                <w:color w:val="000000"/>
                <w:sz w:val="20"/>
                <w:szCs w:val="20"/>
              </w:rPr>
              <w:t>26,807 (29.3%)</w:t>
            </w:r>
          </w:p>
        </w:tc>
        <w:tc>
          <w:tcPr>
            <w:tcW w:w="1021" w:type="pct"/>
            <w:shd w:val="clear" w:color="auto" w:fill="FFFFFF"/>
            <w:tcMar>
              <w:left w:w="17" w:type="dxa"/>
              <w:right w:w="17" w:type="dxa"/>
            </w:tcMar>
          </w:tcPr>
          <w:p w:rsidR="0042566C" w:rsidRPr="00D5401C" w:rsidRDefault="0042566C" w:rsidP="003F0366">
            <w:pPr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01C">
              <w:rPr>
                <w:rFonts w:ascii="Times New Roman" w:hAnsi="Times New Roman"/>
                <w:color w:val="000000"/>
                <w:sz w:val="20"/>
                <w:szCs w:val="20"/>
              </w:rPr>
              <w:t>11,787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D5401C">
              <w:rPr>
                <w:rFonts w:ascii="Times New Roman" w:hAnsi="Times New Roman"/>
                <w:color w:val="000000"/>
                <w:sz w:val="20"/>
                <w:szCs w:val="20"/>
              </w:rPr>
              <w:t>30,371 (38.8%)</w:t>
            </w:r>
          </w:p>
        </w:tc>
        <w:tc>
          <w:tcPr>
            <w:tcW w:w="317" w:type="pct"/>
            <w:shd w:val="clear" w:color="auto" w:fill="FFFFFF"/>
          </w:tcPr>
          <w:p w:rsidR="0042566C" w:rsidRPr="00D5401C" w:rsidRDefault="0042566C" w:rsidP="003F036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0.</w:t>
            </w:r>
            <w:r w:rsidRPr="00D5401C">
              <w:rPr>
                <w:rFonts w:ascii="Times New Roman" w:hAnsi="Times New Roman"/>
                <w:sz w:val="20"/>
                <w:szCs w:val="20"/>
              </w:rPr>
              <w:t>0001</w:t>
            </w:r>
          </w:p>
        </w:tc>
      </w:tr>
      <w:tr w:rsidR="0042566C" w:rsidRPr="00D5401C" w:rsidTr="003F0366">
        <w:trPr>
          <w:cantSplit/>
          <w:jc w:val="center"/>
        </w:trPr>
        <w:tc>
          <w:tcPr>
            <w:tcW w:w="2606" w:type="pct"/>
            <w:shd w:val="clear" w:color="auto" w:fill="FFFFFF"/>
            <w:tcMar>
              <w:left w:w="17" w:type="dxa"/>
              <w:right w:w="17" w:type="dxa"/>
            </w:tcMar>
            <w:vAlign w:val="bottom"/>
          </w:tcPr>
          <w:p w:rsidR="0042566C" w:rsidRPr="00D5401C" w:rsidRDefault="0042566C" w:rsidP="003F0366">
            <w:pPr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01C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Secondary Measures</w:t>
            </w:r>
          </w:p>
        </w:tc>
        <w:tc>
          <w:tcPr>
            <w:tcW w:w="1056" w:type="pct"/>
            <w:shd w:val="clear" w:color="auto" w:fill="FFFFFF"/>
            <w:tcMar>
              <w:left w:w="17" w:type="dxa"/>
              <w:right w:w="17" w:type="dxa"/>
            </w:tcMar>
          </w:tcPr>
          <w:p w:rsidR="0042566C" w:rsidRPr="00D5401C" w:rsidRDefault="0042566C" w:rsidP="003F0366">
            <w:pPr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shd w:val="clear" w:color="auto" w:fill="FFFFFF"/>
            <w:tcMar>
              <w:left w:w="17" w:type="dxa"/>
              <w:right w:w="17" w:type="dxa"/>
            </w:tcMar>
          </w:tcPr>
          <w:p w:rsidR="0042566C" w:rsidRPr="00D5401C" w:rsidRDefault="0042566C" w:rsidP="003F0366">
            <w:pPr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FFFFFF"/>
          </w:tcPr>
          <w:p w:rsidR="0042566C" w:rsidRPr="00D5401C" w:rsidRDefault="0042566C" w:rsidP="003F036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66C" w:rsidRPr="00D5401C" w:rsidTr="003F0366">
        <w:trPr>
          <w:cantSplit/>
          <w:jc w:val="center"/>
        </w:trPr>
        <w:tc>
          <w:tcPr>
            <w:tcW w:w="2606" w:type="pct"/>
            <w:shd w:val="clear" w:color="auto" w:fill="FFFFFF"/>
            <w:tcMar>
              <w:left w:w="17" w:type="dxa"/>
              <w:right w:w="17" w:type="dxa"/>
            </w:tcMar>
          </w:tcPr>
          <w:p w:rsidR="0042566C" w:rsidRPr="00D5401C" w:rsidRDefault="0042566C" w:rsidP="003F0366">
            <w:pPr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01C">
              <w:rPr>
                <w:rFonts w:ascii="Times New Roman" w:hAnsi="Times New Roman"/>
                <w:sz w:val="20"/>
                <w:szCs w:val="20"/>
              </w:rPr>
              <w:t xml:space="preserve">Percentage of adults </w:t>
            </w:r>
            <w:r w:rsidRPr="00D5401C">
              <w:rPr>
                <w:rFonts w:ascii="Times New Roman" w:hAnsi="Times New Roman"/>
                <w:sz w:val="20"/>
                <w:szCs w:val="20"/>
                <w:u w:val="single"/>
              </w:rPr>
              <w:t>&gt;</w:t>
            </w:r>
            <w:r w:rsidRPr="00D5401C">
              <w:rPr>
                <w:rFonts w:ascii="Times New Roman" w:hAnsi="Times New Roman"/>
                <w:sz w:val="20"/>
                <w:szCs w:val="20"/>
              </w:rPr>
              <w:t xml:space="preserve"> 65 years with a record of ever receiving ANY </w:t>
            </w:r>
            <w:r w:rsidRPr="00D5401C">
              <w:rPr>
                <w:rFonts w:ascii="Times New Roman" w:hAnsi="Times New Roman"/>
                <w:b/>
                <w:sz w:val="20"/>
                <w:szCs w:val="20"/>
              </w:rPr>
              <w:t>pneumococcal</w:t>
            </w:r>
            <w:r w:rsidRPr="00D5401C">
              <w:rPr>
                <w:rFonts w:ascii="Times New Roman" w:hAnsi="Times New Roman"/>
                <w:sz w:val="20"/>
                <w:szCs w:val="20"/>
              </w:rPr>
              <w:t xml:space="preserve"> vaccination.</w:t>
            </w:r>
          </w:p>
        </w:tc>
        <w:tc>
          <w:tcPr>
            <w:tcW w:w="1056" w:type="pct"/>
            <w:shd w:val="clear" w:color="auto" w:fill="FFFFFF"/>
            <w:tcMar>
              <w:left w:w="17" w:type="dxa"/>
              <w:right w:w="17" w:type="dxa"/>
            </w:tcMar>
          </w:tcPr>
          <w:p w:rsidR="0042566C" w:rsidRPr="00D5401C" w:rsidRDefault="0042566C" w:rsidP="003F0366">
            <w:pPr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01C">
              <w:rPr>
                <w:rFonts w:ascii="Times New Roman" w:hAnsi="Times New Roman"/>
                <w:color w:val="000000"/>
                <w:sz w:val="20"/>
                <w:szCs w:val="20"/>
              </w:rPr>
              <w:t>34,732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D5401C">
              <w:rPr>
                <w:rFonts w:ascii="Times New Roman" w:hAnsi="Times New Roman"/>
                <w:color w:val="000000"/>
                <w:sz w:val="20"/>
                <w:szCs w:val="20"/>
              </w:rPr>
              <w:t>44,800 (77.5%)</w:t>
            </w:r>
          </w:p>
        </w:tc>
        <w:tc>
          <w:tcPr>
            <w:tcW w:w="1021" w:type="pct"/>
            <w:shd w:val="clear" w:color="auto" w:fill="FFFFFF"/>
            <w:tcMar>
              <w:left w:w="17" w:type="dxa"/>
              <w:right w:w="17" w:type="dxa"/>
            </w:tcMar>
          </w:tcPr>
          <w:p w:rsidR="0042566C" w:rsidRPr="00D5401C" w:rsidRDefault="0042566C" w:rsidP="003F0366">
            <w:pPr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01C">
              <w:rPr>
                <w:rFonts w:ascii="Times New Roman" w:hAnsi="Times New Roman"/>
                <w:color w:val="000000"/>
                <w:sz w:val="20"/>
                <w:szCs w:val="20"/>
              </w:rPr>
              <w:t>38,758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D5401C">
              <w:rPr>
                <w:rFonts w:ascii="Times New Roman" w:hAnsi="Times New Roman"/>
                <w:color w:val="000000"/>
                <w:sz w:val="20"/>
                <w:szCs w:val="20"/>
              </w:rPr>
              <w:t>44,495 (87.1%)</w:t>
            </w:r>
          </w:p>
        </w:tc>
        <w:tc>
          <w:tcPr>
            <w:tcW w:w="317" w:type="pct"/>
            <w:shd w:val="clear" w:color="auto" w:fill="FFFFFF"/>
          </w:tcPr>
          <w:p w:rsidR="0042566C" w:rsidRPr="00D5401C" w:rsidRDefault="0042566C" w:rsidP="003F036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0.</w:t>
            </w:r>
            <w:r w:rsidRPr="00D5401C">
              <w:rPr>
                <w:rFonts w:ascii="Times New Roman" w:hAnsi="Times New Roman"/>
                <w:sz w:val="20"/>
                <w:szCs w:val="20"/>
              </w:rPr>
              <w:t>0001</w:t>
            </w:r>
          </w:p>
        </w:tc>
      </w:tr>
      <w:tr w:rsidR="0042566C" w:rsidRPr="00D5401C" w:rsidTr="003F0366">
        <w:trPr>
          <w:cantSplit/>
          <w:jc w:val="center"/>
        </w:trPr>
        <w:tc>
          <w:tcPr>
            <w:tcW w:w="2606" w:type="pct"/>
            <w:shd w:val="clear" w:color="auto" w:fill="FFFFFF"/>
            <w:tcMar>
              <w:left w:w="17" w:type="dxa"/>
              <w:right w:w="17" w:type="dxa"/>
            </w:tcMar>
          </w:tcPr>
          <w:p w:rsidR="0042566C" w:rsidRPr="00D5401C" w:rsidRDefault="0042566C" w:rsidP="003F0366">
            <w:pPr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01C">
              <w:rPr>
                <w:rFonts w:ascii="Times New Roman" w:hAnsi="Times New Roman"/>
                <w:sz w:val="20"/>
                <w:szCs w:val="20"/>
              </w:rPr>
              <w:t xml:space="preserve">Percentage of older adults </w:t>
            </w:r>
            <w:r w:rsidRPr="00D5401C">
              <w:rPr>
                <w:rFonts w:ascii="Times New Roman" w:hAnsi="Times New Roman"/>
                <w:sz w:val="20"/>
                <w:szCs w:val="20"/>
                <w:u w:val="single"/>
              </w:rPr>
              <w:t>&gt;</w:t>
            </w:r>
            <w:r w:rsidRPr="00D5401C">
              <w:rPr>
                <w:rFonts w:ascii="Times New Roman" w:hAnsi="Times New Roman"/>
                <w:sz w:val="20"/>
                <w:szCs w:val="20"/>
              </w:rPr>
              <w:t xml:space="preserve"> 65 years with a record of receiving one </w:t>
            </w:r>
            <w:r w:rsidRPr="00D5401C">
              <w:rPr>
                <w:rFonts w:ascii="Times New Roman" w:hAnsi="Times New Roman"/>
                <w:b/>
                <w:sz w:val="20"/>
                <w:szCs w:val="20"/>
              </w:rPr>
              <w:t xml:space="preserve">PPSV23 </w:t>
            </w:r>
            <w:r w:rsidRPr="00D5401C">
              <w:rPr>
                <w:rFonts w:ascii="Times New Roman" w:hAnsi="Times New Roman"/>
                <w:sz w:val="20"/>
                <w:szCs w:val="20"/>
              </w:rPr>
              <w:t>vaccine (after age of 65 or within the last 5 years).</w:t>
            </w:r>
          </w:p>
        </w:tc>
        <w:tc>
          <w:tcPr>
            <w:tcW w:w="1056" w:type="pct"/>
            <w:shd w:val="clear" w:color="auto" w:fill="FFFFFF"/>
            <w:tcMar>
              <w:left w:w="17" w:type="dxa"/>
              <w:right w:w="17" w:type="dxa"/>
            </w:tcMar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00"/>
              <w:gridCol w:w="2610"/>
              <w:gridCol w:w="810"/>
            </w:tblGrid>
            <w:tr w:rsidR="0042566C" w:rsidRPr="00D5401C" w:rsidTr="003F0366">
              <w:trPr>
                <w:cantSplit/>
              </w:trPr>
              <w:tc>
                <w:tcPr>
                  <w:tcW w:w="2700" w:type="dxa"/>
                  <w:shd w:val="clear" w:color="auto" w:fill="FFFFFF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42566C" w:rsidRPr="00D5401C" w:rsidRDefault="0042566C" w:rsidP="003F0366">
                  <w:pPr>
                    <w:spacing w:after="0" w:line="36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5401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23,937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/</w:t>
                  </w:r>
                  <w:r w:rsidRPr="00D5401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44,800 (53.4%)</w:t>
                  </w:r>
                </w:p>
              </w:tc>
              <w:tc>
                <w:tcPr>
                  <w:tcW w:w="2610" w:type="dxa"/>
                  <w:shd w:val="clear" w:color="auto" w:fill="FFFFFF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42566C" w:rsidRPr="00D5401C" w:rsidRDefault="0042566C" w:rsidP="003F0366">
                  <w:pPr>
                    <w:spacing w:after="0" w:line="36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5401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29,936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/</w:t>
                  </w:r>
                  <w:r w:rsidRPr="00D5401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44,495 (67.3%)</w:t>
                  </w:r>
                </w:p>
              </w:tc>
              <w:tc>
                <w:tcPr>
                  <w:tcW w:w="810" w:type="dxa"/>
                  <w:shd w:val="clear" w:color="auto" w:fill="FFFFFF"/>
                  <w:hideMark/>
                </w:tcPr>
                <w:p w:rsidR="0042566C" w:rsidRPr="00D5401C" w:rsidRDefault="0042566C" w:rsidP="003F0366">
                  <w:pPr>
                    <w:spacing w:after="0" w:line="36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&lt; 0.</w:t>
                  </w:r>
                  <w:r w:rsidRPr="00D5401C">
                    <w:rPr>
                      <w:rFonts w:ascii="Times New Roman" w:hAnsi="Times New Roman"/>
                      <w:sz w:val="20"/>
                      <w:szCs w:val="20"/>
                    </w:rPr>
                    <w:t>0001</w:t>
                  </w:r>
                </w:p>
              </w:tc>
            </w:tr>
          </w:tbl>
          <w:p w:rsidR="0042566C" w:rsidRPr="00D5401C" w:rsidRDefault="0042566C" w:rsidP="003F0366">
            <w:pPr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shd w:val="clear" w:color="auto" w:fill="FFFFFF"/>
            <w:tcMar>
              <w:left w:w="17" w:type="dxa"/>
              <w:right w:w="17" w:type="dxa"/>
            </w:tcMar>
          </w:tcPr>
          <w:p w:rsidR="0042566C" w:rsidRPr="00D5401C" w:rsidRDefault="0042566C" w:rsidP="003F0366">
            <w:pPr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01C">
              <w:rPr>
                <w:rFonts w:ascii="Times New Roman" w:hAnsi="Times New Roman"/>
                <w:color w:val="000000"/>
                <w:sz w:val="20"/>
                <w:szCs w:val="20"/>
              </w:rPr>
              <w:t>29,936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D5401C">
              <w:rPr>
                <w:rFonts w:ascii="Times New Roman" w:hAnsi="Times New Roman"/>
                <w:color w:val="000000"/>
                <w:sz w:val="20"/>
                <w:szCs w:val="20"/>
              </w:rPr>
              <w:t>44,495 (67.3%)</w:t>
            </w:r>
          </w:p>
        </w:tc>
        <w:tc>
          <w:tcPr>
            <w:tcW w:w="317" w:type="pct"/>
            <w:shd w:val="clear" w:color="auto" w:fill="FFFFFF"/>
          </w:tcPr>
          <w:p w:rsidR="0042566C" w:rsidRPr="00D5401C" w:rsidRDefault="0042566C" w:rsidP="003F036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0.</w:t>
            </w:r>
            <w:r w:rsidRPr="00D5401C">
              <w:rPr>
                <w:rFonts w:ascii="Times New Roman" w:hAnsi="Times New Roman"/>
                <w:sz w:val="20"/>
                <w:szCs w:val="20"/>
              </w:rPr>
              <w:t>0001</w:t>
            </w:r>
          </w:p>
        </w:tc>
      </w:tr>
      <w:tr w:rsidR="0042566C" w:rsidRPr="00D5401C" w:rsidTr="003F0366">
        <w:trPr>
          <w:cantSplit/>
          <w:jc w:val="center"/>
        </w:trPr>
        <w:tc>
          <w:tcPr>
            <w:tcW w:w="2606" w:type="pct"/>
            <w:shd w:val="clear" w:color="auto" w:fill="FFFFFF"/>
            <w:tcMar>
              <w:left w:w="17" w:type="dxa"/>
              <w:right w:w="17" w:type="dxa"/>
            </w:tcMar>
          </w:tcPr>
          <w:p w:rsidR="0042566C" w:rsidRPr="00D5401C" w:rsidRDefault="0042566C" w:rsidP="003F0366">
            <w:pPr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01C">
              <w:rPr>
                <w:rFonts w:ascii="Times New Roman" w:hAnsi="Times New Roman"/>
                <w:sz w:val="20"/>
                <w:szCs w:val="20"/>
              </w:rPr>
              <w:t xml:space="preserve">Percentage of adults </w:t>
            </w:r>
            <w:r w:rsidRPr="00D5401C">
              <w:rPr>
                <w:rFonts w:ascii="Times New Roman" w:hAnsi="Times New Roman"/>
                <w:sz w:val="20"/>
                <w:szCs w:val="20"/>
                <w:u w:val="single"/>
              </w:rPr>
              <w:t>&gt;</w:t>
            </w:r>
            <w:r w:rsidRPr="00D5401C">
              <w:rPr>
                <w:rFonts w:ascii="Times New Roman" w:hAnsi="Times New Roman"/>
                <w:sz w:val="20"/>
                <w:szCs w:val="20"/>
              </w:rPr>
              <w:t xml:space="preserve"> 65 years with a record of receiving one </w:t>
            </w:r>
            <w:r w:rsidRPr="00D5401C">
              <w:rPr>
                <w:rFonts w:ascii="Times New Roman" w:hAnsi="Times New Roman"/>
                <w:b/>
                <w:sz w:val="20"/>
                <w:szCs w:val="20"/>
              </w:rPr>
              <w:t>PCV13</w:t>
            </w:r>
            <w:r w:rsidRPr="00D5401C">
              <w:rPr>
                <w:rFonts w:ascii="Times New Roman" w:hAnsi="Times New Roman"/>
                <w:sz w:val="20"/>
                <w:szCs w:val="20"/>
              </w:rPr>
              <w:t xml:space="preserve"> vaccine.</w:t>
            </w:r>
          </w:p>
        </w:tc>
        <w:tc>
          <w:tcPr>
            <w:tcW w:w="1056" w:type="pct"/>
            <w:shd w:val="clear" w:color="auto" w:fill="FFFFFF"/>
            <w:tcMar>
              <w:left w:w="17" w:type="dxa"/>
              <w:right w:w="17" w:type="dxa"/>
            </w:tcMar>
          </w:tcPr>
          <w:p w:rsidR="0042566C" w:rsidRPr="00D5401C" w:rsidRDefault="0042566C" w:rsidP="003F0366">
            <w:pPr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01C">
              <w:rPr>
                <w:rFonts w:ascii="Times New Roman" w:hAnsi="Times New Roman"/>
                <w:color w:val="000000"/>
                <w:sz w:val="20"/>
                <w:szCs w:val="20"/>
              </w:rPr>
              <w:t>24,060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D5401C">
              <w:rPr>
                <w:rFonts w:ascii="Times New Roman" w:hAnsi="Times New Roman"/>
                <w:color w:val="000000"/>
                <w:sz w:val="20"/>
                <w:szCs w:val="20"/>
              </w:rPr>
              <w:t>44,800 (53.7%)</w:t>
            </w:r>
          </w:p>
        </w:tc>
        <w:tc>
          <w:tcPr>
            <w:tcW w:w="1021" w:type="pct"/>
            <w:shd w:val="clear" w:color="auto" w:fill="FFFFFF"/>
            <w:tcMar>
              <w:left w:w="17" w:type="dxa"/>
              <w:right w:w="17" w:type="dxa"/>
            </w:tcMar>
          </w:tcPr>
          <w:p w:rsidR="0042566C" w:rsidRPr="00D5401C" w:rsidRDefault="0042566C" w:rsidP="003F0366">
            <w:pPr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01C">
              <w:rPr>
                <w:rFonts w:ascii="Times New Roman" w:hAnsi="Times New Roman"/>
                <w:color w:val="000000"/>
                <w:sz w:val="20"/>
                <w:szCs w:val="20"/>
              </w:rPr>
              <w:t>34,456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D5401C">
              <w:rPr>
                <w:rFonts w:ascii="Times New Roman" w:hAnsi="Times New Roman"/>
                <w:color w:val="000000"/>
                <w:sz w:val="20"/>
                <w:szCs w:val="20"/>
              </w:rPr>
              <w:t>44,495 (77.4%)</w:t>
            </w:r>
          </w:p>
        </w:tc>
        <w:tc>
          <w:tcPr>
            <w:tcW w:w="317" w:type="pct"/>
            <w:shd w:val="clear" w:color="auto" w:fill="FFFFFF"/>
          </w:tcPr>
          <w:p w:rsidR="0042566C" w:rsidRPr="00D5401C" w:rsidRDefault="0042566C" w:rsidP="003F036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0.</w:t>
            </w:r>
            <w:r w:rsidRPr="00D5401C">
              <w:rPr>
                <w:rFonts w:ascii="Times New Roman" w:hAnsi="Times New Roman"/>
                <w:sz w:val="20"/>
                <w:szCs w:val="20"/>
              </w:rPr>
              <w:t>0001</w:t>
            </w:r>
          </w:p>
        </w:tc>
      </w:tr>
      <w:tr w:rsidR="0042566C" w:rsidRPr="00D5401C" w:rsidTr="003F0366">
        <w:trPr>
          <w:cantSplit/>
          <w:jc w:val="center"/>
        </w:trPr>
        <w:tc>
          <w:tcPr>
            <w:tcW w:w="2606" w:type="pct"/>
            <w:shd w:val="clear" w:color="auto" w:fill="FFFFFF"/>
            <w:tcMar>
              <w:left w:w="17" w:type="dxa"/>
              <w:right w:w="17" w:type="dxa"/>
            </w:tcMar>
          </w:tcPr>
          <w:p w:rsidR="0042566C" w:rsidRPr="00D5401C" w:rsidRDefault="0042566C" w:rsidP="003F0366">
            <w:pPr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0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Percentage of patients aged 19 - 64 with an </w:t>
            </w:r>
            <w:proofErr w:type="spellStart"/>
            <w:r w:rsidRPr="00D5401C">
              <w:rPr>
                <w:rFonts w:ascii="Times New Roman" w:hAnsi="Times New Roman"/>
                <w:sz w:val="20"/>
                <w:szCs w:val="20"/>
              </w:rPr>
              <w:t>immunocompromising</w:t>
            </w:r>
            <w:proofErr w:type="spellEnd"/>
            <w:r w:rsidRPr="00D5401C">
              <w:rPr>
                <w:rFonts w:ascii="Times New Roman" w:hAnsi="Times New Roman"/>
                <w:sz w:val="20"/>
                <w:szCs w:val="20"/>
              </w:rPr>
              <w:t xml:space="preserve"> condition with a record of </w:t>
            </w:r>
            <w:r w:rsidRPr="00D5401C">
              <w:rPr>
                <w:rFonts w:ascii="Times New Roman" w:hAnsi="Times New Roman"/>
                <w:b/>
                <w:sz w:val="20"/>
                <w:szCs w:val="20"/>
              </w:rPr>
              <w:t>ANY pneumococcal</w:t>
            </w:r>
            <w:r w:rsidRPr="00D5401C">
              <w:rPr>
                <w:rFonts w:ascii="Times New Roman" w:hAnsi="Times New Roman"/>
                <w:sz w:val="20"/>
                <w:szCs w:val="20"/>
              </w:rPr>
              <w:t xml:space="preserve"> vaccination</w:t>
            </w:r>
          </w:p>
        </w:tc>
        <w:tc>
          <w:tcPr>
            <w:tcW w:w="1056" w:type="pct"/>
            <w:shd w:val="clear" w:color="auto" w:fill="FFFFFF"/>
            <w:tcMar>
              <w:left w:w="17" w:type="dxa"/>
              <w:right w:w="17" w:type="dxa"/>
            </w:tcMar>
          </w:tcPr>
          <w:p w:rsidR="0042566C" w:rsidRPr="00D5401C" w:rsidRDefault="0042566C" w:rsidP="003F0366">
            <w:pPr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01C">
              <w:rPr>
                <w:rFonts w:ascii="Times New Roman" w:hAnsi="Times New Roman"/>
                <w:color w:val="000000"/>
                <w:sz w:val="20"/>
                <w:szCs w:val="20"/>
              </w:rPr>
              <w:t>2,482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D5401C">
              <w:rPr>
                <w:rFonts w:ascii="Times New Roman" w:hAnsi="Times New Roman"/>
                <w:color w:val="000000"/>
                <w:sz w:val="20"/>
                <w:szCs w:val="20"/>
              </w:rPr>
              <w:t>9,213 (26.9%)</w:t>
            </w:r>
          </w:p>
        </w:tc>
        <w:tc>
          <w:tcPr>
            <w:tcW w:w="1021" w:type="pct"/>
            <w:shd w:val="clear" w:color="auto" w:fill="FFFFFF"/>
            <w:tcMar>
              <w:left w:w="17" w:type="dxa"/>
              <w:right w:w="17" w:type="dxa"/>
            </w:tcMar>
          </w:tcPr>
          <w:p w:rsidR="0042566C" w:rsidRPr="00D5401C" w:rsidRDefault="0042566C" w:rsidP="003F0366">
            <w:pPr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01C">
              <w:rPr>
                <w:rFonts w:ascii="Times New Roman" w:hAnsi="Times New Roman"/>
                <w:color w:val="000000"/>
                <w:sz w:val="20"/>
                <w:szCs w:val="20"/>
              </w:rPr>
              <w:t>3,820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D5401C">
              <w:rPr>
                <w:rFonts w:ascii="Times New Roman" w:hAnsi="Times New Roman"/>
                <w:color w:val="000000"/>
                <w:sz w:val="20"/>
                <w:szCs w:val="20"/>
              </w:rPr>
              <w:t>10,711 (35.7%)</w:t>
            </w:r>
          </w:p>
        </w:tc>
        <w:tc>
          <w:tcPr>
            <w:tcW w:w="317" w:type="pct"/>
            <w:shd w:val="clear" w:color="auto" w:fill="FFFFFF"/>
          </w:tcPr>
          <w:p w:rsidR="0042566C" w:rsidRPr="00D5401C" w:rsidRDefault="0042566C" w:rsidP="003F036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0.</w:t>
            </w:r>
            <w:r w:rsidRPr="00D5401C">
              <w:rPr>
                <w:rFonts w:ascii="Times New Roman" w:hAnsi="Times New Roman"/>
                <w:sz w:val="20"/>
                <w:szCs w:val="20"/>
              </w:rPr>
              <w:t>0001</w:t>
            </w:r>
          </w:p>
        </w:tc>
      </w:tr>
      <w:tr w:rsidR="0042566C" w:rsidRPr="00D5401C" w:rsidTr="003F0366">
        <w:trPr>
          <w:cantSplit/>
          <w:jc w:val="center"/>
        </w:trPr>
        <w:tc>
          <w:tcPr>
            <w:tcW w:w="2606" w:type="pct"/>
            <w:shd w:val="clear" w:color="auto" w:fill="FFFFFF"/>
            <w:tcMar>
              <w:left w:w="17" w:type="dxa"/>
              <w:right w:w="17" w:type="dxa"/>
            </w:tcMar>
          </w:tcPr>
          <w:p w:rsidR="0042566C" w:rsidRPr="00D5401C" w:rsidRDefault="0042566C" w:rsidP="003F0366">
            <w:pPr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01C">
              <w:rPr>
                <w:rFonts w:ascii="Times New Roman" w:hAnsi="Times New Roman"/>
                <w:sz w:val="20"/>
                <w:szCs w:val="20"/>
              </w:rPr>
              <w:t xml:space="preserve">Percentage of patients aged 19 - 64 with an </w:t>
            </w:r>
            <w:proofErr w:type="spellStart"/>
            <w:r w:rsidRPr="00D5401C">
              <w:rPr>
                <w:rFonts w:ascii="Times New Roman" w:hAnsi="Times New Roman"/>
                <w:sz w:val="20"/>
                <w:szCs w:val="20"/>
              </w:rPr>
              <w:t>immunocompromising</w:t>
            </w:r>
            <w:proofErr w:type="spellEnd"/>
            <w:r w:rsidRPr="00D5401C">
              <w:rPr>
                <w:rFonts w:ascii="Times New Roman" w:hAnsi="Times New Roman"/>
                <w:sz w:val="20"/>
                <w:szCs w:val="20"/>
              </w:rPr>
              <w:t xml:space="preserve"> condition with a record of ever receiving </w:t>
            </w:r>
            <w:r w:rsidRPr="00D5401C">
              <w:rPr>
                <w:rFonts w:ascii="Times New Roman" w:hAnsi="Times New Roman"/>
                <w:b/>
                <w:sz w:val="20"/>
                <w:szCs w:val="20"/>
              </w:rPr>
              <w:t>PPSV23</w:t>
            </w:r>
            <w:r w:rsidRPr="00D5401C">
              <w:rPr>
                <w:rFonts w:ascii="Times New Roman" w:hAnsi="Times New Roman"/>
                <w:sz w:val="20"/>
                <w:szCs w:val="20"/>
              </w:rPr>
              <w:t xml:space="preserve"> pneumococcal vaccination.</w:t>
            </w:r>
          </w:p>
        </w:tc>
        <w:tc>
          <w:tcPr>
            <w:tcW w:w="1056" w:type="pct"/>
            <w:shd w:val="clear" w:color="auto" w:fill="FFFFFF"/>
            <w:tcMar>
              <w:left w:w="17" w:type="dxa"/>
              <w:right w:w="17" w:type="dxa"/>
            </w:tcMar>
          </w:tcPr>
          <w:p w:rsidR="0042566C" w:rsidRPr="00D5401C" w:rsidRDefault="0042566C" w:rsidP="003F0366">
            <w:pPr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01C">
              <w:rPr>
                <w:rFonts w:ascii="Times New Roman" w:hAnsi="Times New Roman"/>
                <w:color w:val="000000"/>
                <w:sz w:val="20"/>
                <w:szCs w:val="20"/>
              </w:rPr>
              <w:t>2,131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D5401C">
              <w:rPr>
                <w:rFonts w:ascii="Times New Roman" w:hAnsi="Times New Roman"/>
                <w:color w:val="000000"/>
                <w:sz w:val="20"/>
                <w:szCs w:val="20"/>
              </w:rPr>
              <w:t>9,213 (23.1%)</w:t>
            </w:r>
          </w:p>
        </w:tc>
        <w:tc>
          <w:tcPr>
            <w:tcW w:w="1021" w:type="pct"/>
            <w:shd w:val="clear" w:color="auto" w:fill="FFFFFF"/>
            <w:tcMar>
              <w:left w:w="17" w:type="dxa"/>
              <w:right w:w="17" w:type="dxa"/>
            </w:tcMar>
          </w:tcPr>
          <w:p w:rsidR="0042566C" w:rsidRPr="00D5401C" w:rsidRDefault="0042566C" w:rsidP="003F0366">
            <w:pPr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01C">
              <w:rPr>
                <w:rFonts w:ascii="Times New Roman" w:hAnsi="Times New Roman"/>
                <w:color w:val="000000"/>
                <w:sz w:val="20"/>
                <w:szCs w:val="20"/>
              </w:rPr>
              <w:t>3,395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D5401C">
              <w:rPr>
                <w:rFonts w:ascii="Times New Roman" w:hAnsi="Times New Roman"/>
                <w:color w:val="000000"/>
                <w:sz w:val="20"/>
                <w:szCs w:val="20"/>
              </w:rPr>
              <w:t>10,711 (31.7%)</w:t>
            </w:r>
          </w:p>
        </w:tc>
        <w:tc>
          <w:tcPr>
            <w:tcW w:w="317" w:type="pct"/>
            <w:shd w:val="clear" w:color="auto" w:fill="FFFFFF"/>
          </w:tcPr>
          <w:p w:rsidR="0042566C" w:rsidRPr="00D5401C" w:rsidRDefault="0042566C" w:rsidP="003F036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0.</w:t>
            </w:r>
            <w:r w:rsidRPr="00D5401C">
              <w:rPr>
                <w:rFonts w:ascii="Times New Roman" w:hAnsi="Times New Roman"/>
                <w:sz w:val="20"/>
                <w:szCs w:val="20"/>
              </w:rPr>
              <w:t>0001</w:t>
            </w:r>
          </w:p>
        </w:tc>
      </w:tr>
      <w:tr w:rsidR="0042566C" w:rsidRPr="00D5401C" w:rsidTr="003F0366">
        <w:trPr>
          <w:cantSplit/>
          <w:jc w:val="center"/>
        </w:trPr>
        <w:tc>
          <w:tcPr>
            <w:tcW w:w="2606" w:type="pct"/>
            <w:shd w:val="clear" w:color="auto" w:fill="FFFFFF"/>
            <w:tcMar>
              <w:left w:w="17" w:type="dxa"/>
              <w:right w:w="17" w:type="dxa"/>
            </w:tcMar>
          </w:tcPr>
          <w:p w:rsidR="0042566C" w:rsidRPr="00D5401C" w:rsidRDefault="0042566C" w:rsidP="003F0366">
            <w:pPr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01C">
              <w:rPr>
                <w:rFonts w:ascii="Times New Roman" w:hAnsi="Times New Roman"/>
                <w:sz w:val="20"/>
                <w:szCs w:val="20"/>
              </w:rPr>
              <w:t xml:space="preserve">Percentage of patients aged 19 - 64 with an </w:t>
            </w:r>
            <w:proofErr w:type="spellStart"/>
            <w:r w:rsidRPr="00D5401C">
              <w:rPr>
                <w:rFonts w:ascii="Times New Roman" w:hAnsi="Times New Roman"/>
                <w:sz w:val="20"/>
                <w:szCs w:val="20"/>
              </w:rPr>
              <w:t>immunocompromising</w:t>
            </w:r>
            <w:proofErr w:type="spellEnd"/>
            <w:r w:rsidRPr="00D5401C">
              <w:rPr>
                <w:rFonts w:ascii="Times New Roman" w:hAnsi="Times New Roman"/>
                <w:sz w:val="20"/>
                <w:szCs w:val="20"/>
              </w:rPr>
              <w:t xml:space="preserve"> condition with a record of ever receiving </w:t>
            </w:r>
            <w:r w:rsidRPr="00D5401C">
              <w:rPr>
                <w:rFonts w:ascii="Times New Roman" w:hAnsi="Times New Roman"/>
                <w:b/>
                <w:sz w:val="20"/>
                <w:szCs w:val="20"/>
              </w:rPr>
              <w:t>PCV13</w:t>
            </w:r>
            <w:r w:rsidRPr="00D5401C">
              <w:rPr>
                <w:rFonts w:ascii="Times New Roman" w:hAnsi="Times New Roman"/>
                <w:sz w:val="20"/>
                <w:szCs w:val="20"/>
              </w:rPr>
              <w:t xml:space="preserve"> pneumococcal vaccination.</w:t>
            </w:r>
          </w:p>
        </w:tc>
        <w:tc>
          <w:tcPr>
            <w:tcW w:w="1056" w:type="pct"/>
            <w:shd w:val="clear" w:color="auto" w:fill="FFFFFF"/>
            <w:tcMar>
              <w:left w:w="17" w:type="dxa"/>
              <w:right w:w="17" w:type="dxa"/>
            </w:tcMar>
          </w:tcPr>
          <w:p w:rsidR="0042566C" w:rsidRPr="00D5401C" w:rsidRDefault="0042566C" w:rsidP="003F0366">
            <w:pPr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01C">
              <w:rPr>
                <w:rFonts w:ascii="Times New Roman" w:hAnsi="Times New Roman"/>
                <w:color w:val="000000"/>
                <w:sz w:val="20"/>
                <w:szCs w:val="20"/>
              </w:rPr>
              <w:t>739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D5401C">
              <w:rPr>
                <w:rFonts w:ascii="Times New Roman" w:hAnsi="Times New Roman"/>
                <w:color w:val="000000"/>
                <w:sz w:val="20"/>
                <w:szCs w:val="20"/>
              </w:rPr>
              <w:t>9,213 (8.0%)</w:t>
            </w:r>
          </w:p>
        </w:tc>
        <w:tc>
          <w:tcPr>
            <w:tcW w:w="1021" w:type="pct"/>
            <w:shd w:val="clear" w:color="auto" w:fill="FFFFFF"/>
            <w:tcMar>
              <w:left w:w="17" w:type="dxa"/>
              <w:right w:w="17" w:type="dxa"/>
            </w:tcMar>
          </w:tcPr>
          <w:p w:rsidR="0042566C" w:rsidRPr="00D5401C" w:rsidRDefault="0042566C" w:rsidP="003F0366">
            <w:pPr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01C">
              <w:rPr>
                <w:rFonts w:ascii="Times New Roman" w:hAnsi="Times New Roman"/>
                <w:color w:val="000000"/>
                <w:sz w:val="20"/>
                <w:szCs w:val="20"/>
              </w:rPr>
              <w:t>1,300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D5401C">
              <w:rPr>
                <w:rFonts w:ascii="Times New Roman" w:hAnsi="Times New Roman"/>
                <w:color w:val="000000"/>
                <w:sz w:val="20"/>
                <w:szCs w:val="20"/>
              </w:rPr>
              <w:t>10,711 (12.1%)</w:t>
            </w:r>
          </w:p>
        </w:tc>
        <w:tc>
          <w:tcPr>
            <w:tcW w:w="317" w:type="pct"/>
            <w:shd w:val="clear" w:color="auto" w:fill="FFFFFF"/>
          </w:tcPr>
          <w:p w:rsidR="0042566C" w:rsidRPr="00D5401C" w:rsidRDefault="0042566C" w:rsidP="003F036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0.</w:t>
            </w:r>
            <w:r w:rsidRPr="00D5401C">
              <w:rPr>
                <w:rFonts w:ascii="Times New Roman" w:hAnsi="Times New Roman"/>
                <w:sz w:val="20"/>
                <w:szCs w:val="20"/>
              </w:rPr>
              <w:t>0001</w:t>
            </w:r>
          </w:p>
        </w:tc>
      </w:tr>
      <w:tr w:rsidR="0042566C" w:rsidRPr="00D5401C" w:rsidTr="003F0366">
        <w:trPr>
          <w:cantSplit/>
          <w:jc w:val="center"/>
        </w:trPr>
        <w:tc>
          <w:tcPr>
            <w:tcW w:w="2606" w:type="pct"/>
            <w:shd w:val="clear" w:color="auto" w:fill="FFFFFF"/>
            <w:tcMar>
              <w:left w:w="17" w:type="dxa"/>
              <w:right w:w="17" w:type="dxa"/>
            </w:tcMar>
          </w:tcPr>
          <w:p w:rsidR="0042566C" w:rsidRPr="00D5401C" w:rsidRDefault="0042566C" w:rsidP="003F0366">
            <w:pPr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01C">
              <w:rPr>
                <w:rFonts w:ascii="Times New Roman" w:hAnsi="Times New Roman"/>
                <w:sz w:val="20"/>
                <w:szCs w:val="20"/>
              </w:rPr>
              <w:t xml:space="preserve">Percentage of patients aged 19 - 64 with an </w:t>
            </w:r>
            <w:proofErr w:type="spellStart"/>
            <w:r w:rsidRPr="00D5401C">
              <w:rPr>
                <w:rFonts w:ascii="Times New Roman" w:hAnsi="Times New Roman"/>
                <w:sz w:val="20"/>
                <w:szCs w:val="20"/>
              </w:rPr>
              <w:t>immunocompromising</w:t>
            </w:r>
            <w:proofErr w:type="spellEnd"/>
            <w:r w:rsidRPr="00D5401C">
              <w:rPr>
                <w:rFonts w:ascii="Times New Roman" w:hAnsi="Times New Roman"/>
                <w:sz w:val="20"/>
                <w:szCs w:val="20"/>
              </w:rPr>
              <w:t xml:space="preserve"> condition with a record of ever receiving </w:t>
            </w:r>
            <w:r w:rsidRPr="00D5401C">
              <w:rPr>
                <w:rFonts w:ascii="Times New Roman" w:hAnsi="Times New Roman"/>
                <w:b/>
                <w:sz w:val="20"/>
                <w:szCs w:val="20"/>
              </w:rPr>
              <w:t>both PPSV23 and PCV13</w:t>
            </w:r>
          </w:p>
        </w:tc>
        <w:tc>
          <w:tcPr>
            <w:tcW w:w="1056" w:type="pct"/>
            <w:shd w:val="clear" w:color="auto" w:fill="FFFFFF"/>
            <w:tcMar>
              <w:left w:w="17" w:type="dxa"/>
              <w:right w:w="17" w:type="dxa"/>
            </w:tcMar>
          </w:tcPr>
          <w:p w:rsidR="0042566C" w:rsidRPr="00D5401C" w:rsidRDefault="0042566C" w:rsidP="003F0366">
            <w:pPr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01C">
              <w:rPr>
                <w:rFonts w:ascii="Times New Roman" w:hAnsi="Times New Roman"/>
                <w:color w:val="000000"/>
                <w:sz w:val="20"/>
                <w:szCs w:val="20"/>
              </w:rPr>
              <w:t>388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D5401C">
              <w:rPr>
                <w:rFonts w:ascii="Times New Roman" w:hAnsi="Times New Roman"/>
                <w:color w:val="000000"/>
                <w:sz w:val="20"/>
                <w:szCs w:val="20"/>
              </w:rPr>
              <w:t>9,213 (4.2%)</w:t>
            </w:r>
          </w:p>
        </w:tc>
        <w:tc>
          <w:tcPr>
            <w:tcW w:w="1021" w:type="pct"/>
            <w:shd w:val="clear" w:color="auto" w:fill="FFFFFF"/>
            <w:tcMar>
              <w:left w:w="17" w:type="dxa"/>
              <w:right w:w="17" w:type="dxa"/>
            </w:tcMar>
          </w:tcPr>
          <w:p w:rsidR="0042566C" w:rsidRPr="00D5401C" w:rsidRDefault="0042566C" w:rsidP="003F0366">
            <w:pPr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01C">
              <w:rPr>
                <w:rFonts w:ascii="Times New Roman" w:hAnsi="Times New Roman"/>
                <w:color w:val="000000"/>
                <w:sz w:val="20"/>
                <w:szCs w:val="20"/>
              </w:rPr>
              <w:t>875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D5401C">
              <w:rPr>
                <w:rFonts w:ascii="Times New Roman" w:hAnsi="Times New Roman"/>
                <w:color w:val="000000"/>
                <w:sz w:val="20"/>
                <w:szCs w:val="20"/>
              </w:rPr>
              <w:t>10,711 (8.2%)</w:t>
            </w:r>
          </w:p>
        </w:tc>
        <w:tc>
          <w:tcPr>
            <w:tcW w:w="317" w:type="pct"/>
            <w:shd w:val="clear" w:color="auto" w:fill="FFFFFF"/>
          </w:tcPr>
          <w:p w:rsidR="0042566C" w:rsidRPr="00D5401C" w:rsidRDefault="0042566C" w:rsidP="003F036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 0.</w:t>
            </w:r>
            <w:r w:rsidRPr="00D5401C">
              <w:rPr>
                <w:rFonts w:ascii="Times New Roman" w:hAnsi="Times New Roman"/>
                <w:sz w:val="20"/>
                <w:szCs w:val="20"/>
              </w:rPr>
              <w:t>0001</w:t>
            </w:r>
          </w:p>
        </w:tc>
      </w:tr>
      <w:tr w:rsidR="0042566C" w:rsidRPr="00D5401C" w:rsidTr="003F0366">
        <w:trPr>
          <w:cantSplit/>
          <w:jc w:val="center"/>
        </w:trPr>
        <w:tc>
          <w:tcPr>
            <w:tcW w:w="2606" w:type="pct"/>
            <w:shd w:val="clear" w:color="auto" w:fill="FFFFFF"/>
            <w:tcMar>
              <w:left w:w="17" w:type="dxa"/>
              <w:right w:w="17" w:type="dxa"/>
            </w:tcMar>
          </w:tcPr>
          <w:p w:rsidR="0042566C" w:rsidRPr="00D5401C" w:rsidRDefault="0042566C" w:rsidP="003F0366">
            <w:pPr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01C">
              <w:rPr>
                <w:rFonts w:ascii="Times New Roman" w:hAnsi="Times New Roman"/>
                <w:sz w:val="20"/>
                <w:szCs w:val="20"/>
              </w:rPr>
              <w:t xml:space="preserve">Percentage of patients aged 19 - 64 who are </w:t>
            </w:r>
            <w:proofErr w:type="spellStart"/>
            <w:r w:rsidRPr="00D5401C">
              <w:rPr>
                <w:rFonts w:ascii="Times New Roman" w:hAnsi="Times New Roman"/>
                <w:sz w:val="20"/>
                <w:szCs w:val="20"/>
              </w:rPr>
              <w:t>immunocompetent</w:t>
            </w:r>
            <w:proofErr w:type="spellEnd"/>
            <w:r w:rsidRPr="00D5401C">
              <w:rPr>
                <w:rFonts w:ascii="Times New Roman" w:hAnsi="Times New Roman"/>
                <w:sz w:val="20"/>
                <w:szCs w:val="20"/>
              </w:rPr>
              <w:t xml:space="preserve"> with underlying medical condition who ever received </w:t>
            </w:r>
            <w:r w:rsidRPr="00D5401C">
              <w:rPr>
                <w:rFonts w:ascii="Times New Roman" w:hAnsi="Times New Roman"/>
                <w:b/>
                <w:sz w:val="20"/>
                <w:szCs w:val="20"/>
              </w:rPr>
              <w:t>PPSV23</w:t>
            </w:r>
          </w:p>
        </w:tc>
        <w:tc>
          <w:tcPr>
            <w:tcW w:w="1056" w:type="pct"/>
            <w:shd w:val="clear" w:color="auto" w:fill="FFFFFF"/>
            <w:tcMar>
              <w:left w:w="17" w:type="dxa"/>
              <w:right w:w="17" w:type="dxa"/>
            </w:tcMar>
          </w:tcPr>
          <w:p w:rsidR="0042566C" w:rsidRPr="00D5401C" w:rsidRDefault="0042566C" w:rsidP="003F0366">
            <w:pPr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01C">
              <w:rPr>
                <w:rFonts w:ascii="Times New Roman" w:hAnsi="Times New Roman"/>
                <w:color w:val="000000"/>
                <w:sz w:val="20"/>
                <w:szCs w:val="20"/>
              </w:rPr>
              <w:t>8,708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D5401C">
              <w:rPr>
                <w:rFonts w:ascii="Times New Roman" w:hAnsi="Times New Roman"/>
                <w:color w:val="000000"/>
                <w:sz w:val="20"/>
                <w:szCs w:val="20"/>
              </w:rPr>
              <w:t>20,162 (43.2%)</w:t>
            </w:r>
          </w:p>
        </w:tc>
        <w:tc>
          <w:tcPr>
            <w:tcW w:w="1021" w:type="pct"/>
            <w:shd w:val="clear" w:color="auto" w:fill="FFFFFF"/>
            <w:tcMar>
              <w:left w:w="17" w:type="dxa"/>
              <w:right w:w="17" w:type="dxa"/>
            </w:tcMar>
          </w:tcPr>
          <w:p w:rsidR="0042566C" w:rsidRPr="00D5401C" w:rsidRDefault="0042566C" w:rsidP="003F0366">
            <w:pPr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01C">
              <w:rPr>
                <w:rFonts w:ascii="Times New Roman" w:hAnsi="Times New Roman"/>
                <w:color w:val="000000"/>
                <w:sz w:val="20"/>
                <w:szCs w:val="20"/>
              </w:rPr>
              <w:t>13,101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D5401C">
              <w:rPr>
                <w:rFonts w:ascii="Times New Roman" w:hAnsi="Times New Roman"/>
                <w:color w:val="000000"/>
                <w:sz w:val="20"/>
                <w:szCs w:val="20"/>
              </w:rPr>
              <w:t>23,071 (56.8%)</w:t>
            </w:r>
          </w:p>
        </w:tc>
        <w:tc>
          <w:tcPr>
            <w:tcW w:w="317" w:type="pct"/>
            <w:shd w:val="clear" w:color="auto" w:fill="FFFFFF"/>
          </w:tcPr>
          <w:p w:rsidR="0042566C" w:rsidRPr="00D5401C" w:rsidRDefault="0042566C" w:rsidP="003F036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5401C">
              <w:rPr>
                <w:rFonts w:ascii="Times New Roman" w:hAnsi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Pr="00D5401C">
              <w:rPr>
                <w:rFonts w:ascii="Times New Roman" w:hAnsi="Times New Roman"/>
                <w:sz w:val="20"/>
                <w:szCs w:val="20"/>
              </w:rPr>
              <w:t>.0001</w:t>
            </w:r>
          </w:p>
        </w:tc>
      </w:tr>
      <w:tr w:rsidR="0042566C" w:rsidRPr="00D5401C" w:rsidTr="003F0366">
        <w:trPr>
          <w:cantSplit/>
          <w:jc w:val="center"/>
        </w:trPr>
        <w:tc>
          <w:tcPr>
            <w:tcW w:w="2606" w:type="pct"/>
            <w:shd w:val="clear" w:color="auto" w:fill="FFFFFF"/>
            <w:tcMar>
              <w:left w:w="17" w:type="dxa"/>
              <w:right w:w="17" w:type="dxa"/>
            </w:tcMar>
          </w:tcPr>
          <w:p w:rsidR="0042566C" w:rsidRPr="00D5401C" w:rsidRDefault="0042566C" w:rsidP="003F0366">
            <w:pPr>
              <w:keepNext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pct"/>
            <w:shd w:val="clear" w:color="auto" w:fill="FFFFFF"/>
            <w:tcMar>
              <w:left w:w="17" w:type="dxa"/>
              <w:right w:w="17" w:type="dxa"/>
            </w:tcMar>
          </w:tcPr>
          <w:p w:rsidR="0042566C" w:rsidRPr="00D5401C" w:rsidRDefault="0042566C" w:rsidP="003F0366">
            <w:pPr>
              <w:keepNext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shd w:val="clear" w:color="auto" w:fill="FFFFFF"/>
            <w:tcMar>
              <w:left w:w="17" w:type="dxa"/>
              <w:right w:w="17" w:type="dxa"/>
            </w:tcMar>
          </w:tcPr>
          <w:p w:rsidR="0042566C" w:rsidRPr="00D5401C" w:rsidRDefault="0042566C" w:rsidP="003F0366">
            <w:pPr>
              <w:keepNext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FFFFFF"/>
          </w:tcPr>
          <w:p w:rsidR="0042566C" w:rsidRPr="00D5401C" w:rsidRDefault="0042566C" w:rsidP="003F036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2566C" w:rsidRPr="00D5401C" w:rsidRDefault="0042566C" w:rsidP="0042566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2566C" w:rsidRPr="00D5401C" w:rsidRDefault="0042566C" w:rsidP="0042566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5651E" w:rsidRDefault="0015651E"/>
    <w:sectPr w:rsidR="0015651E" w:rsidSect="008F14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42566C"/>
    <w:rsid w:val="0015651E"/>
    <w:rsid w:val="0042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6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1842</Characters>
  <Application>Microsoft Office Word</Application>
  <DocSecurity>0</DocSecurity>
  <Lines>15</Lines>
  <Paragraphs>4</Paragraphs>
  <ScaleCrop>false</ScaleCrop>
  <Company>HP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Swathi</dc:creator>
  <cp:lastModifiedBy>Swathi</cp:lastModifiedBy>
  <cp:revision>1</cp:revision>
  <dcterms:created xsi:type="dcterms:W3CDTF">2020-12-08T10:25:00Z</dcterms:created>
  <dcterms:modified xsi:type="dcterms:W3CDTF">2020-12-08T10:25:00Z</dcterms:modified>
</cp:coreProperties>
</file>