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E" w:rsidRPr="00BC11B0" w:rsidRDefault="000345AE" w:rsidP="000345AE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C11B0">
        <w:rPr>
          <w:rFonts w:ascii="Times New Roman" w:hAnsi="Times New Roman"/>
          <w:b/>
          <w:color w:val="000000"/>
          <w:sz w:val="20"/>
          <w:szCs w:val="20"/>
        </w:rPr>
        <w:t>Table 1:</w:t>
      </w:r>
      <w:r w:rsidRPr="00BC11B0">
        <w:rPr>
          <w:rFonts w:ascii="Times New Roman" w:hAnsi="Times New Roman"/>
          <w:color w:val="000000"/>
          <w:sz w:val="20"/>
          <w:szCs w:val="20"/>
        </w:rPr>
        <w:t xml:space="preserve"> The demographic variables and data related to hospital admission.</w:t>
      </w:r>
    </w:p>
    <w:p w:rsidR="00510FC2" w:rsidRDefault="00510FC2"/>
    <w:tbl>
      <w:tblPr>
        <w:tblW w:w="5680" w:type="dxa"/>
        <w:tblInd w:w="98" w:type="dxa"/>
        <w:tblLook w:val="04A0"/>
      </w:tblPr>
      <w:tblGrid>
        <w:gridCol w:w="1270"/>
        <w:gridCol w:w="401"/>
        <w:gridCol w:w="1579"/>
        <w:gridCol w:w="1183"/>
        <w:gridCol w:w="1247"/>
      </w:tblGrid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Variable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BC11B0" w:rsidRDefault="000345AE" w:rsidP="008F57CF">
            <w:pPr>
              <w:spacing w:after="0" w:line="36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Frequency/</w:t>
            </w:r>
          </w:p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Percent/SD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52.9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Female gender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47.1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Reason for a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dmission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Right quadrant pain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76.5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11.8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Acute abdomen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11.8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Out hospital admission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82.4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In-hospital admission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Cause of BDI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82.4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ERCP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Delayed admission/referral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29.4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Acute admission/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referral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70.6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BC11B0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Bismuth-Strasberg 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classification</w:t>
            </w:r>
          </w:p>
          <w:p w:rsidR="000345AE" w:rsidRPr="00BC11B0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345AE" w:rsidRPr="00BC11B0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29.4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5.9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11.8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ERCP and stenting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58.8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Surgical 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41.2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Surgical method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Choledocotomy and primary repair 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 T tube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23.5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Roux-en-Y hepatico-jejunostomy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11.8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Hepp-Couinaud approach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No surgery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58.8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17.6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Complication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23.50%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Septic shock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11.8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345AE" w:rsidRPr="00BC11B0" w:rsidTr="008F57CF">
        <w:trPr>
          <w:trHeight w:val="30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No complication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5AE" w:rsidRPr="00C61BAB" w:rsidRDefault="000345AE" w:rsidP="008F57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>70.6</w:t>
            </w:r>
            <w:r w:rsidRPr="00C61BA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0345AE" w:rsidRDefault="000345AE"/>
    <w:p w:rsidR="008A00D6" w:rsidRPr="00BC11B0" w:rsidRDefault="008A00D6" w:rsidP="008A00D6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C11B0">
        <w:rPr>
          <w:rFonts w:ascii="Times New Roman" w:hAnsi="Times New Roman"/>
          <w:sz w:val="20"/>
          <w:szCs w:val="20"/>
        </w:rPr>
        <w:t xml:space="preserve">Abbreviations: SD: Standard Deviation; BDI: Bile Duct Injury; LC: Laparoscopic Cholecystectomy; ERCP: </w:t>
      </w:r>
      <w:r w:rsidRPr="00BC11B0">
        <w:rPr>
          <w:rFonts w:ascii="Times New Roman" w:hAnsi="Times New Roman"/>
          <w:color w:val="000000"/>
          <w:sz w:val="20"/>
          <w:szCs w:val="20"/>
        </w:rPr>
        <w:t>Endoscopic Retrograde Cholangiopancreatography; BDI were classified according to Bismuth-Strasberg Classification (6) from A to E.</w:t>
      </w:r>
    </w:p>
    <w:p w:rsidR="008A00D6" w:rsidRDefault="008A00D6"/>
    <w:sectPr w:rsidR="008A00D6" w:rsidSect="00510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5AE"/>
    <w:rsid w:val="000345AE"/>
    <w:rsid w:val="00510FC2"/>
    <w:rsid w:val="008A00D6"/>
    <w:rsid w:val="00E9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2019-10-11T10:14:00Z</dcterms:created>
  <dcterms:modified xsi:type="dcterms:W3CDTF">2019-10-11T10:15:00Z</dcterms:modified>
</cp:coreProperties>
</file>